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9BE" w:rsidRPr="00EE792B" w:rsidRDefault="006F39BE" w:rsidP="006F39BE">
      <w:pPr>
        <w:spacing w:after="0" w:line="240" w:lineRule="auto"/>
        <w:ind w:left="2835" w:right="1134" w:hanging="1134"/>
        <w:jc w:val="both"/>
        <w:rPr>
          <w:rFonts w:ascii="Tahoma" w:eastAsia="Times New Roman" w:hAnsi="Tahoma" w:cs="Tahoma"/>
          <w:i/>
          <w:sz w:val="18"/>
          <w:szCs w:val="18"/>
          <w:lang w:val="es-ES" w:eastAsia="es-ES"/>
        </w:rPr>
      </w:pPr>
      <w:r w:rsidRPr="00EE792B">
        <w:rPr>
          <w:rFonts w:ascii="Tahoma" w:eastAsia="Times New Roman" w:hAnsi="Tahoma" w:cs="Tahoma"/>
          <w:b/>
          <w:sz w:val="20"/>
          <w:szCs w:val="20"/>
          <w:lang w:val="es-ES" w:eastAsia="es-ES"/>
        </w:rPr>
        <w:t xml:space="preserve">Sumilla   </w:t>
      </w:r>
      <w:r w:rsidRPr="00EE792B">
        <w:rPr>
          <w:rFonts w:ascii="Tahoma" w:eastAsia="Times New Roman" w:hAnsi="Tahoma" w:cs="Tahoma"/>
          <w:b/>
          <w:sz w:val="18"/>
          <w:szCs w:val="18"/>
          <w:lang w:val="es-ES" w:eastAsia="es-ES"/>
        </w:rPr>
        <w:t>:</w:t>
      </w:r>
      <w:r w:rsidRPr="00EE792B">
        <w:rPr>
          <w:rFonts w:ascii="Tahoma" w:eastAsia="Times New Roman" w:hAnsi="Tahoma" w:cs="Tahoma"/>
          <w:i/>
          <w:sz w:val="18"/>
          <w:szCs w:val="18"/>
          <w:lang w:val="es-ES" w:eastAsia="es-ES"/>
        </w:rPr>
        <w:tab/>
        <w:t>“</w:t>
      </w:r>
      <w:r w:rsidR="004C42BB" w:rsidRPr="004C42BB">
        <w:rPr>
          <w:rFonts w:ascii="Times New Roman" w:eastAsia="Times New Roman" w:hAnsi="Times New Roman" w:cs="Times New Roman"/>
          <w:i/>
          <w:sz w:val="20"/>
          <w:szCs w:val="20"/>
          <w:lang w:val="es-ES" w:eastAsia="es-ES"/>
        </w:rPr>
        <w:t>N</w:t>
      </w:r>
      <w:r w:rsidR="004C42BB" w:rsidRPr="006F39BE">
        <w:rPr>
          <w:rFonts w:ascii="Times New Roman" w:eastAsia="Times New Roman" w:hAnsi="Times New Roman" w:cs="Times New Roman"/>
          <w:i/>
          <w:sz w:val="20"/>
          <w:szCs w:val="20"/>
          <w:lang w:val="es-ES" w:eastAsia="es-ES"/>
        </w:rPr>
        <w:t>o habiéndose probado la existencia de causa justificante para la no suscripción de contrato a cargo del Postor, este Colegiado determina que en el presente caso se ha configurado la causal tipificada en el literal a) del numeral 51.1 del artículo 51 de la Ley</w:t>
      </w:r>
      <w:r w:rsidR="004C42BB" w:rsidRPr="004C42BB">
        <w:rPr>
          <w:rFonts w:ascii="Times New Roman" w:eastAsia="Times New Roman" w:hAnsi="Times New Roman" w:cs="Times New Roman"/>
          <w:i/>
          <w:sz w:val="20"/>
          <w:szCs w:val="20"/>
          <w:lang w:val="es-ES" w:eastAsia="es-ES"/>
        </w:rPr>
        <w:t xml:space="preserve"> de Contrataciones del Estado</w:t>
      </w:r>
      <w:r w:rsidRPr="00EE792B">
        <w:rPr>
          <w:rFonts w:ascii="Tahoma" w:eastAsia="Times New Roman" w:hAnsi="Tahoma" w:cs="Tahoma"/>
          <w:i/>
          <w:sz w:val="18"/>
          <w:szCs w:val="18"/>
          <w:lang w:val="es-ES" w:eastAsia="es-ES"/>
        </w:rPr>
        <w:t>”.</w:t>
      </w:r>
    </w:p>
    <w:p w:rsidR="006F39BE" w:rsidRPr="00EE792B" w:rsidRDefault="006F39BE" w:rsidP="006F39BE">
      <w:pPr>
        <w:spacing w:after="0" w:line="240" w:lineRule="auto"/>
        <w:ind w:left="2268" w:right="1843"/>
        <w:jc w:val="both"/>
        <w:rPr>
          <w:rFonts w:ascii="Tahoma" w:eastAsia="Times New Roman" w:hAnsi="Tahoma" w:cs="Tahoma"/>
          <w:sz w:val="20"/>
          <w:szCs w:val="20"/>
          <w:lang w:val="es-ES" w:eastAsia="es-ES"/>
        </w:rPr>
      </w:pPr>
    </w:p>
    <w:p w:rsidR="006F39BE" w:rsidRPr="00EE792B" w:rsidRDefault="006F39BE" w:rsidP="006F39BE">
      <w:pPr>
        <w:spacing w:after="0" w:line="240" w:lineRule="auto"/>
        <w:ind w:left="2268" w:right="1843"/>
        <w:jc w:val="both"/>
        <w:rPr>
          <w:rFonts w:ascii="Times New Roman" w:eastAsia="Times New Roman" w:hAnsi="Times New Roman" w:cs="Times New Roman"/>
          <w:sz w:val="16"/>
          <w:szCs w:val="16"/>
          <w:lang w:val="es-ES" w:eastAsia="es-ES"/>
        </w:rPr>
      </w:pPr>
    </w:p>
    <w:p w:rsidR="006F39BE" w:rsidRDefault="006F39BE" w:rsidP="00187DE0">
      <w:pPr>
        <w:spacing w:after="0" w:line="240" w:lineRule="auto"/>
        <w:ind w:right="991"/>
        <w:rPr>
          <w:rFonts w:ascii="Times New Roman" w:eastAsia="Times New Roman" w:hAnsi="Times New Roman" w:cs="Times New Roman"/>
          <w:sz w:val="16"/>
          <w:szCs w:val="16"/>
          <w:lang w:val="es-ES" w:eastAsia="es-ES"/>
        </w:rPr>
      </w:pPr>
    </w:p>
    <w:p w:rsidR="00187DE0" w:rsidRDefault="00187DE0" w:rsidP="00187DE0">
      <w:pPr>
        <w:spacing w:after="0" w:line="240" w:lineRule="auto"/>
        <w:ind w:right="991"/>
        <w:rPr>
          <w:rFonts w:ascii="Times New Roman" w:eastAsia="Times New Roman" w:hAnsi="Times New Roman" w:cs="Times New Roman"/>
          <w:sz w:val="16"/>
          <w:szCs w:val="16"/>
          <w:lang w:val="es-ES" w:eastAsia="es-ES"/>
        </w:rPr>
      </w:pPr>
    </w:p>
    <w:p w:rsidR="00187DE0" w:rsidRPr="00EE792B" w:rsidRDefault="00187DE0" w:rsidP="00187DE0">
      <w:pPr>
        <w:spacing w:after="0" w:line="240" w:lineRule="auto"/>
        <w:ind w:right="991"/>
        <w:rPr>
          <w:rFonts w:ascii="Tahoma" w:eastAsia="Times New Roman" w:hAnsi="Tahoma" w:cs="Tahoma"/>
          <w:b/>
          <w:i/>
          <w:sz w:val="20"/>
          <w:szCs w:val="20"/>
          <w:lang w:val="es-ES" w:eastAsia="es-ES"/>
        </w:rPr>
      </w:pPr>
      <w:r>
        <w:rPr>
          <w:rFonts w:ascii="Times New Roman" w:eastAsia="Times New Roman" w:hAnsi="Times New Roman" w:cs="Times New Roman"/>
          <w:sz w:val="16"/>
          <w:szCs w:val="16"/>
          <w:lang w:val="es-ES" w:eastAsia="es-ES"/>
        </w:rPr>
        <w:tab/>
      </w:r>
      <w:r>
        <w:rPr>
          <w:rFonts w:ascii="Times New Roman" w:eastAsia="Times New Roman" w:hAnsi="Times New Roman" w:cs="Times New Roman"/>
          <w:sz w:val="16"/>
          <w:szCs w:val="16"/>
          <w:lang w:val="es-ES" w:eastAsia="es-ES"/>
        </w:rPr>
        <w:tab/>
      </w:r>
      <w:r>
        <w:rPr>
          <w:rFonts w:ascii="Times New Roman" w:eastAsia="Times New Roman" w:hAnsi="Times New Roman" w:cs="Times New Roman"/>
          <w:sz w:val="16"/>
          <w:szCs w:val="16"/>
          <w:lang w:val="es-ES" w:eastAsia="es-ES"/>
        </w:rPr>
        <w:tab/>
      </w:r>
      <w:r>
        <w:rPr>
          <w:rFonts w:ascii="Times New Roman" w:eastAsia="Times New Roman" w:hAnsi="Times New Roman" w:cs="Times New Roman"/>
          <w:sz w:val="16"/>
          <w:szCs w:val="16"/>
          <w:lang w:val="es-ES" w:eastAsia="es-ES"/>
        </w:rPr>
        <w:tab/>
      </w:r>
      <w:r>
        <w:rPr>
          <w:rFonts w:ascii="Times New Roman" w:eastAsia="Times New Roman" w:hAnsi="Times New Roman" w:cs="Times New Roman"/>
          <w:sz w:val="16"/>
          <w:szCs w:val="16"/>
          <w:lang w:val="es-ES" w:eastAsia="es-ES"/>
        </w:rPr>
        <w:tab/>
      </w:r>
      <w:r>
        <w:rPr>
          <w:rFonts w:ascii="Times New Roman" w:eastAsia="Times New Roman" w:hAnsi="Times New Roman" w:cs="Times New Roman"/>
          <w:sz w:val="16"/>
          <w:szCs w:val="16"/>
          <w:lang w:val="es-ES" w:eastAsia="es-ES"/>
        </w:rPr>
        <w:tab/>
      </w:r>
      <w:r>
        <w:rPr>
          <w:rFonts w:ascii="Times New Roman" w:eastAsia="Times New Roman" w:hAnsi="Times New Roman" w:cs="Times New Roman"/>
          <w:sz w:val="16"/>
          <w:szCs w:val="16"/>
          <w:lang w:val="es-ES" w:eastAsia="es-ES"/>
        </w:rPr>
        <w:tab/>
        <w:t>Lima; 16 de Septiembre de 2011</w:t>
      </w:r>
    </w:p>
    <w:p w:rsidR="006F39BE" w:rsidRPr="00EE792B" w:rsidRDefault="006F39BE" w:rsidP="006F39BE">
      <w:pPr>
        <w:spacing w:after="0" w:line="240" w:lineRule="auto"/>
        <w:ind w:left="4956" w:firstLine="708"/>
        <w:jc w:val="right"/>
        <w:rPr>
          <w:rFonts w:ascii="Tahoma" w:eastAsia="Batang" w:hAnsi="Tahoma" w:cs="Tahoma"/>
          <w:b/>
          <w:color w:val="FFFFFF"/>
          <w:sz w:val="20"/>
          <w:szCs w:val="20"/>
          <w:lang w:eastAsia="es-ES"/>
        </w:rPr>
      </w:pPr>
      <w:r w:rsidRPr="00EE792B">
        <w:rPr>
          <w:rFonts w:ascii="Tahoma" w:eastAsia="Batang" w:hAnsi="Tahoma" w:cs="Tahoma"/>
          <w:b/>
          <w:color w:val="FFFFFF"/>
          <w:sz w:val="20"/>
          <w:szCs w:val="20"/>
          <w:lang w:eastAsia="es-ES"/>
        </w:rPr>
        <w:t xml:space="preserve">Lima, 05 de mayo de 2010   </w:t>
      </w:r>
    </w:p>
    <w:p w:rsidR="006F39BE" w:rsidRPr="00EE792B" w:rsidRDefault="006F39BE" w:rsidP="006F39BE">
      <w:pPr>
        <w:spacing w:after="0" w:line="240" w:lineRule="auto"/>
        <w:jc w:val="right"/>
        <w:rPr>
          <w:rFonts w:ascii="Tahoma" w:eastAsia="Batang" w:hAnsi="Tahoma" w:cs="Tahoma"/>
          <w:sz w:val="20"/>
          <w:szCs w:val="20"/>
          <w:lang w:val="es-ES" w:eastAsia="es-ES"/>
        </w:rPr>
      </w:pPr>
    </w:p>
    <w:p w:rsidR="006F39BE" w:rsidRPr="006F39BE" w:rsidRDefault="006F39BE" w:rsidP="006F39BE">
      <w:pPr>
        <w:spacing w:after="0" w:line="240" w:lineRule="auto"/>
        <w:ind w:left="142" w:right="-283"/>
        <w:jc w:val="both"/>
        <w:rPr>
          <w:rFonts w:ascii="Tahoma" w:eastAsia="Times New Roman" w:hAnsi="Tahoma" w:cs="Tahoma"/>
          <w:sz w:val="21"/>
          <w:szCs w:val="21"/>
          <w:lang w:val="es-ES" w:eastAsia="es-ES"/>
        </w:rPr>
      </w:pPr>
      <w:r w:rsidRPr="006F39BE">
        <w:rPr>
          <w:rFonts w:ascii="Tahoma" w:eastAsia="Times New Roman" w:hAnsi="Tahoma" w:cs="Tahoma"/>
          <w:b/>
          <w:sz w:val="21"/>
          <w:szCs w:val="21"/>
          <w:lang w:val="es-ES" w:eastAsia="es-ES"/>
        </w:rPr>
        <w:t>Visto</w:t>
      </w:r>
      <w:r w:rsidRPr="006F39BE">
        <w:rPr>
          <w:rFonts w:ascii="Tahoma" w:eastAsia="Times New Roman" w:hAnsi="Tahoma" w:cs="Tahoma"/>
          <w:sz w:val="21"/>
          <w:szCs w:val="21"/>
          <w:lang w:val="es-ES" w:eastAsia="es-ES"/>
        </w:rPr>
        <w:t xml:space="preserve"> en sesión de fecha </w:t>
      </w:r>
      <w:r>
        <w:rPr>
          <w:rFonts w:ascii="Tahoma" w:eastAsia="Times New Roman" w:hAnsi="Tahoma" w:cs="Tahoma"/>
          <w:sz w:val="21"/>
          <w:szCs w:val="21"/>
          <w:lang w:val="es-ES" w:eastAsia="es-ES"/>
        </w:rPr>
        <w:t>15 de Septiembre</w:t>
      </w:r>
      <w:r w:rsidRPr="006F39BE">
        <w:rPr>
          <w:rFonts w:ascii="Tahoma" w:eastAsia="Times New Roman" w:hAnsi="Tahoma" w:cs="Tahoma"/>
          <w:sz w:val="21"/>
          <w:szCs w:val="21"/>
          <w:lang w:val="es-ES" w:eastAsia="es-ES"/>
        </w:rPr>
        <w:t xml:space="preserve"> de 2011 de la </w:t>
      </w:r>
      <w:r>
        <w:rPr>
          <w:rFonts w:ascii="Tahoma" w:eastAsia="Times New Roman" w:hAnsi="Tahoma" w:cs="Tahoma"/>
          <w:sz w:val="21"/>
          <w:szCs w:val="21"/>
          <w:lang w:val="es-ES" w:eastAsia="es-ES"/>
        </w:rPr>
        <w:t>Primera</w:t>
      </w:r>
      <w:r w:rsidRPr="006F39BE">
        <w:rPr>
          <w:rFonts w:ascii="Tahoma" w:eastAsia="Times New Roman" w:hAnsi="Tahoma" w:cs="Tahoma"/>
          <w:sz w:val="21"/>
          <w:szCs w:val="21"/>
          <w:lang w:val="es-ES" w:eastAsia="es-ES"/>
        </w:rPr>
        <w:t xml:space="preserve"> Sala del Tribunal de Contrataciones del Estado, el Expediente N° </w:t>
      </w:r>
      <w:r>
        <w:rPr>
          <w:rFonts w:ascii="Tahoma" w:eastAsia="Times New Roman" w:hAnsi="Tahoma" w:cs="Tahoma"/>
          <w:sz w:val="21"/>
          <w:szCs w:val="21"/>
          <w:lang w:val="es-ES" w:eastAsia="es-ES"/>
        </w:rPr>
        <w:t>81</w:t>
      </w:r>
      <w:r w:rsidRPr="006F39BE">
        <w:rPr>
          <w:rFonts w:ascii="Tahoma" w:eastAsia="Times New Roman" w:hAnsi="Tahoma" w:cs="Tahoma"/>
          <w:sz w:val="21"/>
          <w:szCs w:val="21"/>
          <w:lang w:val="es-ES" w:eastAsia="es-ES"/>
        </w:rPr>
        <w:t xml:space="preserve">.2011.TC sobre Procedimiento Administrativo Sancionador contra </w:t>
      </w:r>
      <w:r w:rsidRPr="006F39BE">
        <w:rPr>
          <w:rFonts w:ascii="Tahoma" w:eastAsia="Times New Roman" w:hAnsi="Tahoma" w:cs="Tahoma"/>
          <w:sz w:val="21"/>
          <w:szCs w:val="21"/>
          <w:lang w:eastAsia="es-ES"/>
        </w:rPr>
        <w:t xml:space="preserve">la empresa </w:t>
      </w:r>
      <w:r w:rsidRPr="006F39BE">
        <w:rPr>
          <w:rFonts w:ascii="Tahoma" w:eastAsia="Times New Roman" w:hAnsi="Tahoma" w:cs="Tahoma"/>
          <w:b/>
          <w:sz w:val="21"/>
          <w:szCs w:val="21"/>
          <w:lang w:eastAsia="es-ES"/>
        </w:rPr>
        <w:t>CENCAR S.A.C.</w:t>
      </w:r>
      <w:r w:rsidRPr="006F39BE">
        <w:rPr>
          <w:rFonts w:ascii="Tahoma" w:eastAsia="Times New Roman" w:hAnsi="Tahoma" w:cs="Tahoma"/>
          <w:b/>
          <w:sz w:val="21"/>
          <w:szCs w:val="21"/>
          <w:lang w:val="es-ES" w:eastAsia="es-ES"/>
        </w:rPr>
        <w:t xml:space="preserve">, </w:t>
      </w:r>
      <w:r w:rsidRPr="006F39BE">
        <w:rPr>
          <w:rFonts w:ascii="Tahoma" w:eastAsia="Times New Roman" w:hAnsi="Tahoma" w:cs="Tahoma"/>
          <w:sz w:val="21"/>
          <w:szCs w:val="21"/>
          <w:lang w:val="es-ES" w:eastAsia="es-ES"/>
        </w:rPr>
        <w:t>por supuesta responsabilidad</w:t>
      </w:r>
      <w:r w:rsidRPr="006F39BE">
        <w:rPr>
          <w:rFonts w:ascii="Tahoma" w:eastAsia="Calibri" w:hAnsi="Tahoma" w:cs="Tahoma"/>
          <w:bCs/>
          <w:lang w:eastAsia="es-ES"/>
        </w:rPr>
        <w:t>por no suscribir injustificadamente el contrato</w:t>
      </w:r>
      <w:r>
        <w:rPr>
          <w:rFonts w:ascii="Tahoma" w:eastAsia="Calibri" w:hAnsi="Tahoma" w:cs="Tahoma"/>
          <w:bCs/>
          <w:lang w:eastAsia="es-ES"/>
        </w:rPr>
        <w:t>,</w:t>
      </w:r>
      <w:r w:rsidRPr="006F39BE">
        <w:rPr>
          <w:rFonts w:ascii="Tahoma" w:eastAsia="Calibri" w:hAnsi="Tahoma" w:cs="Tahoma"/>
          <w:lang w:val="es-ES" w:eastAsia="es-ES"/>
        </w:rPr>
        <w:t>respecto de la Adjudicación Directa Pública Nº 0003-2010-RE (Primera Convocatoria)</w:t>
      </w:r>
      <w:r w:rsidRPr="006F39BE">
        <w:rPr>
          <w:rFonts w:ascii="Tahoma" w:eastAsia="Calibri" w:hAnsi="Tahoma" w:cs="Tahoma"/>
          <w:lang w:val="es-ES_tradnl" w:eastAsia="es-ES"/>
        </w:rPr>
        <w:t>, con el objeto de la “Contratación del Servicio de Instalación de Puntos de Red para la Oficina de Legalizaciones del Ministerio de Relaciones Exteriores”</w:t>
      </w:r>
      <w:r w:rsidRPr="006F39BE">
        <w:rPr>
          <w:rFonts w:ascii="Tahoma" w:eastAsia="Times New Roman" w:hAnsi="Tahoma" w:cs="Tahoma"/>
          <w:sz w:val="21"/>
          <w:szCs w:val="21"/>
          <w:lang w:val="es-ES" w:eastAsia="es-ES"/>
        </w:rPr>
        <w:t xml:space="preserve">; y, atendiendo a lo siguiente:   </w:t>
      </w:r>
    </w:p>
    <w:p w:rsidR="006F39BE" w:rsidRPr="00650DFF" w:rsidRDefault="006F39BE" w:rsidP="006F39BE">
      <w:pPr>
        <w:spacing w:after="0" w:line="240" w:lineRule="auto"/>
        <w:ind w:left="142" w:right="-283"/>
        <w:jc w:val="both"/>
        <w:rPr>
          <w:rFonts w:ascii="Tahoma" w:eastAsia="Times New Roman" w:hAnsi="Tahoma" w:cs="Tahoma"/>
          <w:sz w:val="20"/>
          <w:szCs w:val="20"/>
          <w:lang w:val="es-ES" w:eastAsia="es-ES"/>
        </w:rPr>
      </w:pPr>
    </w:p>
    <w:p w:rsidR="006F39BE" w:rsidRPr="00EE792B" w:rsidRDefault="006F39BE" w:rsidP="006F39BE">
      <w:pPr>
        <w:spacing w:after="0" w:line="240" w:lineRule="auto"/>
        <w:rPr>
          <w:rFonts w:ascii="Tahoma" w:eastAsia="Times New Roman" w:hAnsi="Tahoma" w:cs="Tahoma"/>
          <w:b/>
          <w:sz w:val="21"/>
          <w:szCs w:val="21"/>
          <w:lang w:val="es-ES" w:eastAsia="es-ES"/>
        </w:rPr>
      </w:pPr>
    </w:p>
    <w:p w:rsidR="006F39BE" w:rsidRPr="00EE792B" w:rsidRDefault="006F39BE" w:rsidP="006F39BE">
      <w:pPr>
        <w:spacing w:after="0" w:line="240" w:lineRule="auto"/>
        <w:ind w:firstLine="708"/>
        <w:rPr>
          <w:rFonts w:ascii="Tahoma" w:eastAsia="Times New Roman" w:hAnsi="Tahoma" w:cs="Tahoma"/>
          <w:b/>
          <w:sz w:val="21"/>
          <w:szCs w:val="21"/>
          <w:lang w:val="es-ES" w:eastAsia="es-ES"/>
        </w:rPr>
      </w:pPr>
      <w:r w:rsidRPr="00EE792B">
        <w:rPr>
          <w:rFonts w:ascii="Tahoma" w:eastAsia="Times New Roman" w:hAnsi="Tahoma" w:cs="Tahoma"/>
          <w:b/>
          <w:sz w:val="21"/>
          <w:szCs w:val="21"/>
          <w:lang w:val="es-ES" w:eastAsia="es-ES"/>
        </w:rPr>
        <w:t>ANTECEDENTES:</w:t>
      </w:r>
    </w:p>
    <w:p w:rsidR="006F39BE" w:rsidRPr="00EE792B" w:rsidRDefault="006F39BE" w:rsidP="006F39BE">
      <w:pPr>
        <w:spacing w:after="0" w:line="240" w:lineRule="auto"/>
        <w:ind w:firstLine="708"/>
        <w:rPr>
          <w:rFonts w:ascii="Tahoma" w:eastAsia="Times New Roman" w:hAnsi="Tahoma" w:cs="Tahoma"/>
          <w:b/>
          <w:sz w:val="21"/>
          <w:szCs w:val="21"/>
          <w:lang w:val="es-ES" w:eastAsia="es-ES"/>
        </w:rPr>
      </w:pPr>
    </w:p>
    <w:p w:rsidR="006F39BE" w:rsidRPr="006F39BE" w:rsidRDefault="006F39BE" w:rsidP="006F39BE">
      <w:pPr>
        <w:numPr>
          <w:ilvl w:val="1"/>
          <w:numId w:val="8"/>
        </w:numPr>
        <w:tabs>
          <w:tab w:val="num" w:pos="540"/>
          <w:tab w:val="left" w:pos="2160"/>
        </w:tabs>
        <w:spacing w:after="0" w:line="240" w:lineRule="auto"/>
        <w:ind w:left="540" w:right="-318" w:hanging="540"/>
        <w:jc w:val="both"/>
        <w:rPr>
          <w:rFonts w:ascii="Tahoma" w:eastAsia="Calibri" w:hAnsi="Tahoma" w:cs="Tahoma"/>
          <w:bCs/>
          <w:lang w:eastAsia="es-ES"/>
        </w:rPr>
      </w:pPr>
      <w:r w:rsidRPr="006F39BE">
        <w:rPr>
          <w:rFonts w:ascii="Tahoma" w:eastAsia="Calibri" w:hAnsi="Tahoma" w:cs="Tahoma"/>
          <w:lang w:val="es-ES" w:eastAsia="es-ES"/>
        </w:rPr>
        <w:t>Mediante escrito presentado el 19 de Enero del 2011, el MINISTERIO DE RELACIONES EXTERIORES, en adelante la Entidad, denunció ante el Tribunal de Contrataciones del Estado, en adelante El Tribunal, que la</w:t>
      </w:r>
      <w:r w:rsidRPr="006F39BE">
        <w:rPr>
          <w:rFonts w:ascii="Tahoma" w:eastAsia="Times New Roman" w:hAnsi="Tahoma" w:cs="Tahoma"/>
          <w:lang w:val="es-ES" w:eastAsia="es-ES"/>
        </w:rPr>
        <w:t xml:space="preserve"> empresa CENCAR S.A.C.</w:t>
      </w:r>
      <w:r w:rsidRPr="006F39BE">
        <w:rPr>
          <w:rFonts w:ascii="Tahoma" w:eastAsia="Calibri" w:hAnsi="Tahoma" w:cs="Tahoma"/>
          <w:bCs/>
          <w:lang w:eastAsia="es-ES"/>
        </w:rPr>
        <w:t>, había incurrido en causal pasible de sanción por no suscribir injustificadamente el contrato</w:t>
      </w:r>
      <w:r w:rsidRPr="006F39BE">
        <w:rPr>
          <w:rFonts w:ascii="Tahoma" w:eastAsia="Calibri" w:hAnsi="Tahoma" w:cs="Tahoma"/>
          <w:lang w:eastAsia="es-ES"/>
        </w:rPr>
        <w:t>, conforme se de</w:t>
      </w:r>
      <w:bookmarkStart w:id="0" w:name="_GoBack"/>
      <w:bookmarkEnd w:id="0"/>
      <w:r w:rsidRPr="006F39BE">
        <w:rPr>
          <w:rFonts w:ascii="Tahoma" w:eastAsia="Calibri" w:hAnsi="Tahoma" w:cs="Tahoma"/>
          <w:lang w:eastAsia="es-ES"/>
        </w:rPr>
        <w:t>talla a continuación:</w:t>
      </w:r>
    </w:p>
    <w:p w:rsidR="006F39BE" w:rsidRPr="006F39BE" w:rsidRDefault="006F39BE" w:rsidP="006F39BE">
      <w:pPr>
        <w:tabs>
          <w:tab w:val="num" w:pos="1420"/>
          <w:tab w:val="left" w:pos="2160"/>
        </w:tabs>
        <w:spacing w:after="0" w:line="240" w:lineRule="auto"/>
        <w:ind w:left="540" w:right="-318"/>
        <w:jc w:val="both"/>
        <w:rPr>
          <w:rFonts w:ascii="Tahoma" w:eastAsia="Calibri" w:hAnsi="Tahoma" w:cs="Tahoma"/>
          <w:bCs/>
          <w:lang w:eastAsia="es-ES"/>
        </w:rPr>
      </w:pPr>
    </w:p>
    <w:p w:rsidR="006F39BE" w:rsidRPr="006F39BE" w:rsidRDefault="006F39BE" w:rsidP="006F39BE">
      <w:pPr>
        <w:spacing w:after="0" w:line="240" w:lineRule="auto"/>
        <w:ind w:left="567" w:right="-318"/>
        <w:jc w:val="both"/>
        <w:rPr>
          <w:rFonts w:ascii="Tahoma" w:eastAsia="Calibri" w:hAnsi="Tahoma" w:cs="Tahoma"/>
          <w:lang w:val="es-ES_tradnl" w:eastAsia="es-ES"/>
        </w:rPr>
      </w:pPr>
      <w:r w:rsidRPr="006F39BE">
        <w:rPr>
          <w:rFonts w:ascii="Tahoma" w:eastAsia="Calibri" w:hAnsi="Tahoma" w:cs="Tahoma"/>
          <w:lang w:val="es-ES_tradnl" w:eastAsia="es-ES"/>
        </w:rPr>
        <w:t xml:space="preserve"> “(…)</w:t>
      </w:r>
    </w:p>
    <w:p w:rsidR="006F39BE" w:rsidRPr="006F39BE" w:rsidRDefault="006F39BE" w:rsidP="006F39BE">
      <w:pPr>
        <w:numPr>
          <w:ilvl w:val="2"/>
          <w:numId w:val="8"/>
        </w:numPr>
        <w:tabs>
          <w:tab w:val="num" w:pos="1080"/>
        </w:tabs>
        <w:spacing w:after="0" w:line="240" w:lineRule="auto"/>
        <w:ind w:left="1080" w:right="-318" w:hanging="540"/>
        <w:jc w:val="both"/>
        <w:rPr>
          <w:rFonts w:ascii="Tahoma" w:eastAsia="Calibri" w:hAnsi="Tahoma" w:cs="Tahoma"/>
          <w:i/>
          <w:lang w:val="es-ES_tradnl" w:eastAsia="es-ES"/>
        </w:rPr>
      </w:pPr>
      <w:r w:rsidRPr="006F39BE">
        <w:rPr>
          <w:rFonts w:ascii="Tahoma" w:eastAsia="Calibri" w:hAnsi="Tahoma" w:cs="Tahoma"/>
          <w:i/>
          <w:lang w:val="es-ES_tradnl" w:eastAsia="es-ES"/>
        </w:rPr>
        <w:t>Con fecha 30 de Abril de 2010, se convocó al Proceso de Adjudicación Directa Pública Nº 003-2010-RE (Primera Convocatoria) para la Contratación del Servicio de Instalación de puntos de red para la oficina de legalizaciones del Ministerio de Relaciones Exteriores.</w:t>
      </w:r>
    </w:p>
    <w:p w:rsidR="006F39BE" w:rsidRPr="006F39BE" w:rsidRDefault="006F39BE" w:rsidP="006F39BE">
      <w:pPr>
        <w:tabs>
          <w:tab w:val="num" w:pos="3040"/>
        </w:tabs>
        <w:spacing w:after="0" w:line="240" w:lineRule="auto"/>
        <w:ind w:left="1080" w:right="-318"/>
        <w:jc w:val="both"/>
        <w:rPr>
          <w:rFonts w:ascii="Tahoma" w:eastAsia="Calibri" w:hAnsi="Tahoma" w:cs="Tahoma"/>
          <w:i/>
          <w:lang w:val="es-ES_tradnl" w:eastAsia="es-ES"/>
        </w:rPr>
      </w:pPr>
    </w:p>
    <w:p w:rsidR="006F39BE" w:rsidRPr="006F39BE" w:rsidRDefault="006F39BE" w:rsidP="006F39BE">
      <w:pPr>
        <w:numPr>
          <w:ilvl w:val="2"/>
          <w:numId w:val="8"/>
        </w:numPr>
        <w:tabs>
          <w:tab w:val="num" w:pos="1080"/>
        </w:tabs>
        <w:spacing w:after="0" w:line="240" w:lineRule="auto"/>
        <w:ind w:left="1080" w:right="-318" w:hanging="540"/>
        <w:jc w:val="both"/>
        <w:rPr>
          <w:rFonts w:ascii="Tahoma" w:eastAsia="Calibri" w:hAnsi="Tahoma" w:cs="Tahoma"/>
          <w:i/>
          <w:lang w:val="es-ES_tradnl" w:eastAsia="es-ES"/>
        </w:rPr>
      </w:pPr>
      <w:r w:rsidRPr="006F39BE">
        <w:rPr>
          <w:rFonts w:ascii="Tahoma" w:eastAsia="Calibri" w:hAnsi="Tahoma" w:cs="Tahoma"/>
          <w:i/>
          <w:lang w:val="es-ES_tradnl" w:eastAsia="es-ES"/>
        </w:rPr>
        <w:t>En el proceso de selección citado precedentemente resultó beneficiado con el otorgamiento de la Buena Pro la empresa CENCAR S.A.C., para suscribir el contrato correspondiente, otorgándosele según lo estipulado en las Bases Integradas, el plazo de 07 días hábiles contados a partir del día siguiente de recibida la citada comunicación, precisándose que con la debida anticipación debía remitir la documentación respectiva.</w:t>
      </w:r>
    </w:p>
    <w:p w:rsidR="006F39BE" w:rsidRPr="006F39BE" w:rsidRDefault="006F39BE" w:rsidP="006F39BE">
      <w:pPr>
        <w:pStyle w:val="Prrafodelista"/>
        <w:spacing w:after="0" w:line="240" w:lineRule="auto"/>
        <w:rPr>
          <w:rFonts w:ascii="Tahoma" w:eastAsia="Calibri" w:hAnsi="Tahoma" w:cs="Tahoma"/>
          <w:i/>
          <w:lang w:val="es-ES_tradnl" w:eastAsia="es-ES"/>
        </w:rPr>
      </w:pPr>
    </w:p>
    <w:p w:rsidR="006F39BE" w:rsidRPr="006F39BE" w:rsidRDefault="006F39BE" w:rsidP="006F39BE">
      <w:pPr>
        <w:numPr>
          <w:ilvl w:val="2"/>
          <w:numId w:val="8"/>
        </w:numPr>
        <w:tabs>
          <w:tab w:val="num" w:pos="1080"/>
        </w:tabs>
        <w:spacing w:after="0" w:line="240" w:lineRule="auto"/>
        <w:ind w:left="1080" w:right="-318" w:hanging="540"/>
        <w:jc w:val="both"/>
        <w:rPr>
          <w:rFonts w:ascii="Tahoma" w:eastAsia="Calibri" w:hAnsi="Tahoma" w:cs="Tahoma"/>
          <w:i/>
          <w:lang w:val="es-ES_tradnl" w:eastAsia="es-ES"/>
        </w:rPr>
      </w:pPr>
      <w:r w:rsidRPr="006F39BE">
        <w:rPr>
          <w:rFonts w:ascii="Tahoma" w:eastAsia="Calibri" w:hAnsi="Tahoma" w:cs="Tahoma"/>
          <w:i/>
          <w:lang w:val="es-ES_tradnl" w:eastAsia="es-ES"/>
        </w:rPr>
        <w:t xml:space="preserve">Con fecha 10 de Junio de 2010, la empresa CENCAR S.A.C., remite la Carta NBO-OM0350-2010 en la que señala que remite la documentación que a continuación se detalla: i) constancia vigente de no estar inhabilitado para contratar con el Estado; ii) garantía de fiel cumplimiento por el importe de S./ </w:t>
      </w:r>
      <w:r w:rsidRPr="006F39BE">
        <w:rPr>
          <w:rFonts w:ascii="Tahoma" w:eastAsia="Calibri" w:hAnsi="Tahoma" w:cs="Tahoma"/>
          <w:i/>
          <w:lang w:val="es-ES_tradnl" w:eastAsia="es-ES"/>
        </w:rPr>
        <w:lastRenderedPageBreak/>
        <w:t>9, 999.00 (Nueve Mil Novecientos Noventa y Nueve con 00/100 Nuevos Soles); iii) garantía del monto diferencial de la propuesta, por el importe de 16, 738.30 (Dieciséis Mil Setecientos Treinta y Ocho con 30/100 Nuevos Soles); iv) Copia de la vigencia de poder del representante legal de la empresa; v) copia de la constitución de la empresa y sus modificatorias; vi) copia de D.N.I. del representante legal; vii) copia del RUC de la empresa; y, viii) copia de la cuenta interbancaria del Banco Continental. Sin embargo, es preciso indicar que de acuerdo a la verificación respectiva se determinó que la citada empresa no había cumplido con adjuntar las garantías de fiel cumplimiento y de monto diferencial de la propuesta.</w:t>
      </w:r>
    </w:p>
    <w:p w:rsidR="006F39BE" w:rsidRPr="006F39BE" w:rsidRDefault="006F39BE" w:rsidP="006F39BE">
      <w:pPr>
        <w:pStyle w:val="Prrafodelista"/>
        <w:spacing w:after="0" w:line="240" w:lineRule="auto"/>
        <w:rPr>
          <w:rFonts w:ascii="Tahoma" w:eastAsia="Calibri" w:hAnsi="Tahoma" w:cs="Tahoma"/>
          <w:i/>
          <w:lang w:val="es-ES_tradnl" w:eastAsia="es-ES"/>
        </w:rPr>
      </w:pPr>
    </w:p>
    <w:p w:rsidR="006F39BE" w:rsidRPr="006F39BE" w:rsidRDefault="006F39BE" w:rsidP="006F39BE">
      <w:pPr>
        <w:numPr>
          <w:ilvl w:val="2"/>
          <w:numId w:val="8"/>
        </w:numPr>
        <w:tabs>
          <w:tab w:val="num" w:pos="1080"/>
        </w:tabs>
        <w:spacing w:after="0" w:line="240" w:lineRule="auto"/>
        <w:ind w:left="1080" w:right="-318" w:hanging="540"/>
        <w:jc w:val="both"/>
        <w:rPr>
          <w:rFonts w:ascii="Tahoma" w:eastAsia="Calibri" w:hAnsi="Tahoma" w:cs="Tahoma"/>
          <w:i/>
          <w:lang w:val="es-ES_tradnl" w:eastAsia="es-ES"/>
        </w:rPr>
      </w:pPr>
      <w:r w:rsidRPr="006F39BE">
        <w:rPr>
          <w:rFonts w:ascii="Tahoma" w:eastAsia="Calibri" w:hAnsi="Tahoma" w:cs="Tahoma"/>
          <w:i/>
          <w:lang w:val="es-ES_tradnl" w:eastAsia="es-ES"/>
        </w:rPr>
        <w:t>Mediante Informe (ADQ) Nº 001/2010, del 11 de Junio de 2010 el Departamento de Adquisiciones informo a la Dirección de Logística sobre los hechos ocurridos relacionados al proceso de selección por Adjudicación Directa Pública Nº 0003-2010-RE (Primera Convocatoria), relativos a la no suscripción de contrato de la empresa CENCAR S.A.C., precisando que se efectuó la coordinación del caso con el Gerente General de la referida empresa Sr. José Antonio Verastegui Granda, quien reconoció la omisión de la remisión de los documentos antes citados, indicando que con fecha 11 de Junio de 2010 cumplirían con remitir dichos instrumentos, sin embargo, dicha situación no ocurrió.</w:t>
      </w:r>
    </w:p>
    <w:p w:rsidR="006F39BE" w:rsidRPr="006F39BE" w:rsidRDefault="006F39BE" w:rsidP="006F39BE">
      <w:pPr>
        <w:pStyle w:val="Prrafodelista"/>
        <w:spacing w:after="0" w:line="240" w:lineRule="auto"/>
        <w:rPr>
          <w:rFonts w:ascii="Tahoma" w:eastAsia="Calibri" w:hAnsi="Tahoma" w:cs="Tahoma"/>
          <w:i/>
          <w:lang w:val="es-ES_tradnl" w:eastAsia="es-ES"/>
        </w:rPr>
      </w:pPr>
    </w:p>
    <w:p w:rsidR="006F39BE" w:rsidRPr="006F39BE" w:rsidRDefault="006F39BE" w:rsidP="006F39BE">
      <w:pPr>
        <w:numPr>
          <w:ilvl w:val="2"/>
          <w:numId w:val="8"/>
        </w:numPr>
        <w:tabs>
          <w:tab w:val="num" w:pos="1080"/>
        </w:tabs>
        <w:spacing w:after="0" w:line="240" w:lineRule="auto"/>
        <w:ind w:left="1080" w:right="-318" w:hanging="540"/>
        <w:jc w:val="both"/>
        <w:rPr>
          <w:rFonts w:ascii="Tahoma" w:eastAsia="Calibri" w:hAnsi="Tahoma" w:cs="Tahoma"/>
          <w:i/>
          <w:lang w:val="es-ES_tradnl" w:eastAsia="es-ES"/>
        </w:rPr>
      </w:pPr>
      <w:r w:rsidRPr="006F39BE">
        <w:rPr>
          <w:rFonts w:ascii="Tahoma" w:eastAsia="Calibri" w:hAnsi="Tahoma" w:cs="Tahoma"/>
          <w:i/>
          <w:lang w:val="es-ES_tradnl" w:eastAsia="es-ES"/>
        </w:rPr>
        <w:t>En ese sentido con fecha 15 de Junio de 2010, se registró en el Sistema Electrónico de Contrataciones del Estado – SEACE, la no suscripción de contrato de la empresa antes indicada, dejándose en tal sentido sin efecto el otorgamiento de la Buena Pro a dicha empresa, procediéndose en aplicación al 148º del Reglamento de la Ley de Contrataciones del Estado, aprobado por Decreto Supremo Nº 184-2008-EF, a citar al postor que ocupó el segundo lugar en el orden de prelación del mencionado proceso para que suscriba contrato, en el caso en particular a la empresa INTEGRITY SOLUTIONS S.A.C., por un monto de S./ 118,079.62 (Ciento Dieciocho Mil Setenta y Nueve con 62/100 Nuevos Soles).</w:t>
      </w:r>
    </w:p>
    <w:p w:rsidR="006F39BE" w:rsidRPr="006F39BE" w:rsidRDefault="006F39BE" w:rsidP="006F39BE">
      <w:pPr>
        <w:pStyle w:val="Prrafodelista"/>
        <w:spacing w:after="0" w:line="240" w:lineRule="auto"/>
        <w:rPr>
          <w:rFonts w:ascii="Tahoma" w:eastAsia="Calibri" w:hAnsi="Tahoma" w:cs="Tahoma"/>
          <w:i/>
          <w:lang w:val="es-ES_tradnl" w:eastAsia="es-ES"/>
        </w:rPr>
      </w:pPr>
    </w:p>
    <w:p w:rsidR="006F39BE" w:rsidRPr="006F39BE" w:rsidRDefault="006F39BE" w:rsidP="006F39BE">
      <w:pPr>
        <w:numPr>
          <w:ilvl w:val="2"/>
          <w:numId w:val="8"/>
        </w:numPr>
        <w:tabs>
          <w:tab w:val="num" w:pos="1080"/>
        </w:tabs>
        <w:spacing w:after="0" w:line="240" w:lineRule="auto"/>
        <w:ind w:left="1080" w:right="-318" w:hanging="540"/>
        <w:jc w:val="both"/>
        <w:rPr>
          <w:rFonts w:ascii="Tahoma" w:eastAsia="Calibri" w:hAnsi="Tahoma" w:cs="Tahoma"/>
          <w:i/>
          <w:lang w:val="es-ES_tradnl" w:eastAsia="es-ES"/>
        </w:rPr>
      </w:pPr>
      <w:r w:rsidRPr="006F39BE">
        <w:rPr>
          <w:rFonts w:ascii="Tahoma" w:eastAsia="Calibri" w:hAnsi="Tahoma" w:cs="Tahoma"/>
          <w:i/>
          <w:lang w:val="es-ES_tradnl" w:eastAsia="es-ES"/>
        </w:rPr>
        <w:t>El inciso a) del numeral 51.1 del Artículo 51º de la Ley de Contrataciones del Estado, aprobado por Decreto Legislativo Nº 1017, señala que se impondrán sanciones administrativas a los proveedores, participantes, postores y/o contratistas que no mantengan su oferta hasta el consentimiento de la Buena Pro o, de resultar ganadores hasta la suscripción del contrato, no suscriban injustificadamente el contrato, o no reciban injustificadamente la orden de compra o de servicio a su favor.</w:t>
      </w:r>
    </w:p>
    <w:p w:rsidR="006F39BE" w:rsidRPr="006F39BE" w:rsidRDefault="006F39BE" w:rsidP="006F39BE">
      <w:pPr>
        <w:pStyle w:val="Prrafodelista"/>
        <w:spacing w:after="0" w:line="240" w:lineRule="auto"/>
        <w:rPr>
          <w:rFonts w:ascii="Tahoma" w:eastAsia="Calibri" w:hAnsi="Tahoma" w:cs="Tahoma"/>
          <w:i/>
          <w:lang w:val="es-ES_tradnl" w:eastAsia="es-ES"/>
        </w:rPr>
      </w:pPr>
    </w:p>
    <w:p w:rsidR="006F39BE" w:rsidRPr="006F39BE" w:rsidRDefault="006F39BE" w:rsidP="006F39BE">
      <w:pPr>
        <w:numPr>
          <w:ilvl w:val="2"/>
          <w:numId w:val="8"/>
        </w:numPr>
        <w:tabs>
          <w:tab w:val="num" w:pos="1080"/>
        </w:tabs>
        <w:spacing w:after="0" w:line="240" w:lineRule="auto"/>
        <w:ind w:left="1080" w:right="-318" w:hanging="540"/>
        <w:jc w:val="both"/>
        <w:rPr>
          <w:rFonts w:ascii="Tahoma" w:eastAsia="Calibri" w:hAnsi="Tahoma" w:cs="Tahoma"/>
          <w:i/>
          <w:lang w:val="es-ES_tradnl" w:eastAsia="es-ES"/>
        </w:rPr>
      </w:pPr>
      <w:r w:rsidRPr="006F39BE">
        <w:rPr>
          <w:rFonts w:ascii="Tahoma" w:eastAsia="Calibri" w:hAnsi="Tahoma" w:cs="Tahoma"/>
          <w:i/>
          <w:lang w:val="es-ES_tradnl" w:eastAsia="es-ES"/>
        </w:rPr>
        <w:t xml:space="preserve">En este mismo sentido, el literal a) del numeral 1 del artículo 237º del citado reglamento señala que se impondrá sanción administrativa a los proveedores, participantes, postores y/o contratistas que no mantengan su oferta hasta el </w:t>
      </w:r>
      <w:r w:rsidRPr="006F39BE">
        <w:rPr>
          <w:rFonts w:ascii="Tahoma" w:eastAsia="Calibri" w:hAnsi="Tahoma" w:cs="Tahoma"/>
          <w:i/>
          <w:lang w:val="es-ES_tradnl" w:eastAsia="es-ES"/>
        </w:rPr>
        <w:lastRenderedPageBreak/>
        <w:t>consentimiento de la Buena Pro o, de resultar ganadores hasta la suscripción del contrato, no suscriban injustificadamente el contrato, o no reciban injustificadamente la orden de compra o de servicios a su favor.</w:t>
      </w:r>
    </w:p>
    <w:p w:rsidR="006F39BE" w:rsidRPr="006F39BE" w:rsidRDefault="006F39BE" w:rsidP="006F39BE">
      <w:pPr>
        <w:pStyle w:val="Prrafodelista"/>
        <w:spacing w:after="0" w:line="240" w:lineRule="auto"/>
        <w:rPr>
          <w:rFonts w:ascii="Tahoma" w:eastAsia="Calibri" w:hAnsi="Tahoma" w:cs="Tahoma"/>
          <w:i/>
          <w:lang w:val="es-ES_tradnl" w:eastAsia="es-ES"/>
        </w:rPr>
      </w:pPr>
    </w:p>
    <w:p w:rsidR="006F39BE" w:rsidRPr="006F39BE" w:rsidRDefault="006F39BE" w:rsidP="006F39BE">
      <w:pPr>
        <w:numPr>
          <w:ilvl w:val="2"/>
          <w:numId w:val="8"/>
        </w:numPr>
        <w:tabs>
          <w:tab w:val="num" w:pos="1080"/>
        </w:tabs>
        <w:spacing w:after="0" w:line="240" w:lineRule="auto"/>
        <w:ind w:left="1080" w:right="-318" w:hanging="540"/>
        <w:jc w:val="both"/>
        <w:rPr>
          <w:rFonts w:ascii="Tahoma" w:eastAsia="Calibri" w:hAnsi="Tahoma" w:cs="Tahoma"/>
          <w:i/>
          <w:lang w:val="es-ES_tradnl" w:eastAsia="es-ES"/>
        </w:rPr>
      </w:pPr>
      <w:r w:rsidRPr="006F39BE">
        <w:rPr>
          <w:rFonts w:ascii="Tahoma" w:eastAsia="Calibri" w:hAnsi="Tahoma" w:cs="Tahoma"/>
          <w:i/>
          <w:lang w:val="es-ES_tradnl" w:eastAsia="es-ES"/>
        </w:rPr>
        <w:t>Igualmente, el numeral 2 del artículo 148º del Reglamento de la Ley de Contrataciones del Estado, aprobado por Decreto Supremo Nº 184-2008-EF, precisa que cuando el postor ganador no se presente dentro del plazo otorgado para suscribir el contrato perderá automáticamente la Buena Pro, sin perjuicio de la sanción administrativa aplicable.</w:t>
      </w:r>
    </w:p>
    <w:p w:rsidR="006F39BE" w:rsidRPr="006F39BE" w:rsidRDefault="006F39BE" w:rsidP="006F39BE">
      <w:pPr>
        <w:pStyle w:val="Prrafodelista"/>
        <w:spacing w:after="0" w:line="240" w:lineRule="auto"/>
        <w:rPr>
          <w:rFonts w:ascii="Tahoma" w:eastAsia="Calibri" w:hAnsi="Tahoma" w:cs="Tahoma"/>
          <w:i/>
          <w:lang w:val="es-ES_tradnl" w:eastAsia="es-ES"/>
        </w:rPr>
      </w:pPr>
    </w:p>
    <w:p w:rsidR="006F39BE" w:rsidRPr="006F39BE" w:rsidRDefault="006F39BE" w:rsidP="006F39BE">
      <w:pPr>
        <w:numPr>
          <w:ilvl w:val="2"/>
          <w:numId w:val="8"/>
        </w:numPr>
        <w:tabs>
          <w:tab w:val="num" w:pos="1080"/>
        </w:tabs>
        <w:spacing w:after="0" w:line="240" w:lineRule="auto"/>
        <w:ind w:left="1080" w:right="-318" w:hanging="540"/>
        <w:jc w:val="both"/>
        <w:rPr>
          <w:rFonts w:ascii="Tahoma" w:eastAsia="Calibri" w:hAnsi="Tahoma" w:cs="Tahoma"/>
          <w:i/>
          <w:lang w:val="es-ES_tradnl" w:eastAsia="es-ES"/>
        </w:rPr>
      </w:pPr>
      <w:r w:rsidRPr="006F39BE">
        <w:rPr>
          <w:rFonts w:ascii="Tahoma" w:eastAsia="Calibri" w:hAnsi="Tahoma" w:cs="Tahoma"/>
          <w:i/>
          <w:lang w:val="es-ES_tradnl" w:eastAsia="es-ES"/>
        </w:rPr>
        <w:t>Adicionalmente, el artículo 235º del mencionado reglamento dispone que la facultad para imponer sanción administrativa de inhabilitación temporal o definitiva o sanción económica, a que se contraen los artículos 51º y 52º de la Ley de Contrataciones, a proveedores, participantes, postores, contratistas, expertos independientes y árbitros, según corresponda, por infracción de las disposiciones contenidas en la Ley y Reglamento, reside en exclusividad en el Tribunal.</w:t>
      </w:r>
    </w:p>
    <w:p w:rsidR="006F39BE" w:rsidRPr="006F39BE" w:rsidRDefault="006F39BE" w:rsidP="006F39BE">
      <w:pPr>
        <w:pStyle w:val="Prrafodelista"/>
        <w:spacing w:after="0" w:line="240" w:lineRule="auto"/>
        <w:rPr>
          <w:rFonts w:ascii="Tahoma" w:eastAsia="Calibri" w:hAnsi="Tahoma" w:cs="Tahoma"/>
          <w:i/>
          <w:lang w:val="es-ES_tradnl" w:eastAsia="es-ES"/>
        </w:rPr>
      </w:pPr>
    </w:p>
    <w:p w:rsidR="006F39BE" w:rsidRPr="006F39BE" w:rsidRDefault="006F39BE" w:rsidP="006F39BE">
      <w:pPr>
        <w:numPr>
          <w:ilvl w:val="2"/>
          <w:numId w:val="8"/>
        </w:numPr>
        <w:tabs>
          <w:tab w:val="num" w:pos="1080"/>
        </w:tabs>
        <w:spacing w:after="0" w:line="240" w:lineRule="auto"/>
        <w:ind w:left="1080" w:right="-318" w:hanging="540"/>
        <w:jc w:val="both"/>
        <w:rPr>
          <w:rFonts w:ascii="Tahoma" w:eastAsia="Calibri" w:hAnsi="Tahoma" w:cs="Tahoma"/>
          <w:i/>
          <w:lang w:val="es-ES_tradnl" w:eastAsia="es-ES"/>
        </w:rPr>
      </w:pPr>
      <w:r w:rsidRPr="006F39BE">
        <w:rPr>
          <w:rFonts w:ascii="Tahoma" w:eastAsia="Calibri" w:hAnsi="Tahoma" w:cs="Tahoma"/>
          <w:i/>
          <w:lang w:val="es-ES_tradnl" w:eastAsia="es-ES"/>
        </w:rPr>
        <w:t>En virtud a la normatividad legal antes señalada y de los hechos expuestos puede determinarse que el contratista ha incurrido en causal que amerita la imposición de sanción de conformidad con lo dispuesto en el artículo 235º del Reglamento de la Ley de Contrataciones del Estado, aprobado por Decreto Supremo Nº 184-2008-EF.</w:t>
      </w:r>
    </w:p>
    <w:p w:rsidR="006F39BE" w:rsidRPr="006F39BE" w:rsidRDefault="006F39BE" w:rsidP="006F39BE">
      <w:pPr>
        <w:pStyle w:val="Prrafodelista"/>
        <w:spacing w:after="0" w:line="240" w:lineRule="auto"/>
        <w:rPr>
          <w:rFonts w:ascii="Tahoma" w:eastAsia="Calibri" w:hAnsi="Tahoma" w:cs="Tahoma"/>
          <w:i/>
          <w:lang w:val="es-ES_tradnl" w:eastAsia="es-ES"/>
        </w:rPr>
      </w:pPr>
    </w:p>
    <w:p w:rsidR="006F39BE" w:rsidRPr="006F39BE" w:rsidRDefault="006F39BE" w:rsidP="006F39BE">
      <w:pPr>
        <w:numPr>
          <w:ilvl w:val="2"/>
          <w:numId w:val="8"/>
        </w:numPr>
        <w:tabs>
          <w:tab w:val="num" w:pos="1080"/>
        </w:tabs>
        <w:spacing w:after="0" w:line="240" w:lineRule="auto"/>
        <w:ind w:left="1134" w:right="-316" w:hanging="567"/>
        <w:jc w:val="both"/>
        <w:rPr>
          <w:rFonts w:ascii="Tahoma" w:eastAsia="Calibri" w:hAnsi="Tahoma" w:cs="Tahoma"/>
          <w:i/>
          <w:lang w:val="es-ES_tradnl" w:eastAsia="es-ES"/>
        </w:rPr>
      </w:pPr>
      <w:r w:rsidRPr="006F39BE">
        <w:rPr>
          <w:rFonts w:ascii="Tahoma" w:eastAsia="Calibri" w:hAnsi="Tahoma" w:cs="Tahoma"/>
          <w:i/>
          <w:lang w:val="es-ES_tradnl" w:eastAsia="es-ES"/>
        </w:rPr>
        <w:t xml:space="preserve">De lo expuesto anteriormente, se encuentra configurado el supuesto para que el Ministerio de Relaciones Exteriores, solicite ante el Tribunal de Contrataciones del Estado, la imposición de sanción a la empresa CENCAR S.A.C. (…)” (SIC). </w:t>
      </w:r>
    </w:p>
    <w:p w:rsidR="006F39BE" w:rsidRPr="006F39BE" w:rsidRDefault="006F39BE" w:rsidP="006F39BE">
      <w:pPr>
        <w:tabs>
          <w:tab w:val="left" w:pos="1134"/>
        </w:tabs>
        <w:spacing w:after="0" w:line="240" w:lineRule="auto"/>
        <w:ind w:left="1134" w:right="-316"/>
        <w:jc w:val="both"/>
        <w:rPr>
          <w:rFonts w:ascii="Tahoma" w:eastAsia="Calibri" w:hAnsi="Tahoma" w:cs="Tahoma"/>
          <w:lang w:val="es-ES_tradnl" w:eastAsia="es-ES"/>
        </w:rPr>
      </w:pPr>
    </w:p>
    <w:p w:rsidR="006F39BE" w:rsidRPr="006F39BE" w:rsidRDefault="006F39BE" w:rsidP="006F39BE">
      <w:pPr>
        <w:numPr>
          <w:ilvl w:val="1"/>
          <w:numId w:val="8"/>
        </w:numPr>
        <w:tabs>
          <w:tab w:val="num" w:pos="540"/>
        </w:tabs>
        <w:spacing w:after="0" w:line="240" w:lineRule="auto"/>
        <w:ind w:left="540" w:right="-316" w:hanging="540"/>
        <w:jc w:val="both"/>
        <w:rPr>
          <w:rFonts w:ascii="Tahoma" w:eastAsia="Calibri" w:hAnsi="Tahoma" w:cs="Tahoma"/>
          <w:lang w:val="es-ES" w:eastAsia="es-ES"/>
        </w:rPr>
      </w:pPr>
      <w:r w:rsidRPr="006F39BE">
        <w:rPr>
          <w:rFonts w:ascii="Tahoma" w:eastAsia="Calibri" w:hAnsi="Tahoma" w:cs="Tahoma"/>
          <w:lang w:val="es-ES" w:eastAsia="es-ES"/>
        </w:rPr>
        <w:t xml:space="preserve">Mediante decreto de fecha 24 de Enero de 2011, debidamente notificado el 10 de Junio del 2011, el Tribunal inició procedimiento administrativo sancionador a la empresa </w:t>
      </w:r>
      <w:r w:rsidRPr="006F39BE">
        <w:rPr>
          <w:rFonts w:ascii="Tahoma" w:eastAsia="Calibri" w:hAnsi="Tahoma" w:cs="Tahoma"/>
          <w:lang w:val="es-ES_tradnl" w:eastAsia="es-ES"/>
        </w:rPr>
        <w:t>CENCAR S.A.C.</w:t>
      </w:r>
      <w:r w:rsidRPr="006F39BE">
        <w:rPr>
          <w:rFonts w:ascii="Tahoma" w:eastAsia="Calibri" w:hAnsi="Tahoma" w:cs="Tahoma"/>
          <w:bCs/>
          <w:lang w:val="es-ES" w:eastAsia="es-ES"/>
        </w:rPr>
        <w:t xml:space="preserve">, </w:t>
      </w:r>
      <w:r w:rsidRPr="006F39BE">
        <w:rPr>
          <w:rFonts w:ascii="Tahoma" w:eastAsia="Calibri" w:hAnsi="Tahoma" w:cs="Tahoma"/>
          <w:lang w:val="es-ES" w:eastAsia="es-ES"/>
        </w:rPr>
        <w:t>por supuesta responsabilidad de haber incurrido en causal pasible de sanción, por no suscribir injustificadamente el contrato, respecto de la Adjudicación Directa Pública Nº 0003-2010-RE (Primera Convocatoria)</w:t>
      </w:r>
      <w:r w:rsidRPr="006F39BE">
        <w:rPr>
          <w:rFonts w:ascii="Tahoma" w:eastAsia="Calibri" w:hAnsi="Tahoma" w:cs="Tahoma"/>
          <w:lang w:val="es-ES_tradnl" w:eastAsia="es-ES"/>
        </w:rPr>
        <w:t>, con el objeto de la “Contratación del Servicio de Instalación de Puntos de Red para la Oficina de Legalizaciones del Ministerio de Relaciones Exteriores”</w:t>
      </w:r>
      <w:r w:rsidRPr="006F39BE">
        <w:rPr>
          <w:rFonts w:ascii="Tahoma" w:eastAsia="Calibri" w:hAnsi="Tahoma" w:cs="Tahoma"/>
          <w:lang w:val="es-ES" w:eastAsia="es-ES"/>
        </w:rPr>
        <w:t>, y, lo emplazó para que formule sus descargos en el plazo de diez (10) días.</w:t>
      </w:r>
    </w:p>
    <w:p w:rsidR="006F39BE" w:rsidRPr="006F39BE" w:rsidRDefault="006F39BE" w:rsidP="006F39BE">
      <w:pPr>
        <w:tabs>
          <w:tab w:val="num" w:pos="540"/>
        </w:tabs>
        <w:spacing w:after="0" w:line="240" w:lineRule="auto"/>
        <w:ind w:left="540" w:right="-316" w:hanging="540"/>
        <w:jc w:val="both"/>
        <w:rPr>
          <w:rFonts w:ascii="Tahoma" w:eastAsia="Calibri" w:hAnsi="Tahoma" w:cs="Tahoma"/>
          <w:lang w:val="es-ES" w:eastAsia="es-ES"/>
        </w:rPr>
      </w:pPr>
    </w:p>
    <w:p w:rsidR="006F39BE" w:rsidRPr="006F39BE" w:rsidRDefault="006F39BE" w:rsidP="006F39BE">
      <w:pPr>
        <w:numPr>
          <w:ilvl w:val="1"/>
          <w:numId w:val="8"/>
        </w:numPr>
        <w:tabs>
          <w:tab w:val="num" w:pos="540"/>
        </w:tabs>
        <w:spacing w:after="0" w:line="240" w:lineRule="auto"/>
        <w:ind w:left="540" w:right="-316" w:hanging="540"/>
        <w:jc w:val="both"/>
        <w:rPr>
          <w:rFonts w:ascii="Tahoma" w:eastAsia="Calibri" w:hAnsi="Tahoma" w:cs="Tahoma"/>
          <w:lang w:val="es-ES" w:eastAsia="es-ES"/>
        </w:rPr>
      </w:pPr>
      <w:r w:rsidRPr="006F39BE">
        <w:rPr>
          <w:rFonts w:ascii="Tahoma" w:eastAsia="Calibri" w:hAnsi="Tahoma" w:cs="Tahoma"/>
          <w:lang w:val="es-ES" w:eastAsia="es-ES"/>
        </w:rPr>
        <w:t xml:space="preserve">Con escrito de fecha 24 de Junio de 2011, la empresa </w:t>
      </w:r>
      <w:r w:rsidRPr="006F39BE">
        <w:rPr>
          <w:rFonts w:ascii="Tahoma" w:eastAsia="Times New Roman" w:hAnsi="Tahoma" w:cs="Tahoma"/>
          <w:lang w:val="es-ES" w:eastAsia="es-ES"/>
        </w:rPr>
        <w:t>CENCAR S.A.C.</w:t>
      </w:r>
      <w:r w:rsidRPr="006F39BE">
        <w:rPr>
          <w:rFonts w:ascii="Tahoma" w:eastAsia="Calibri" w:hAnsi="Tahoma" w:cs="Tahoma"/>
          <w:lang w:val="es-ES" w:eastAsia="es-ES"/>
        </w:rPr>
        <w:t xml:space="preserve">, presentó sus descargos manifestando lo siguiente:  </w:t>
      </w:r>
    </w:p>
    <w:p w:rsidR="006F39BE" w:rsidRPr="006F39BE" w:rsidRDefault="006F39BE" w:rsidP="006F39BE">
      <w:pPr>
        <w:spacing w:after="0" w:line="240" w:lineRule="auto"/>
        <w:ind w:left="720"/>
        <w:contextualSpacing/>
        <w:rPr>
          <w:rFonts w:ascii="Tahoma" w:eastAsia="Calibri" w:hAnsi="Tahoma" w:cs="Tahoma"/>
          <w:lang w:val="es-ES" w:eastAsia="es-ES"/>
        </w:rPr>
      </w:pPr>
    </w:p>
    <w:p w:rsidR="006F39BE" w:rsidRPr="006F39BE" w:rsidRDefault="006F39BE" w:rsidP="006F39BE">
      <w:pPr>
        <w:tabs>
          <w:tab w:val="num" w:pos="3040"/>
        </w:tabs>
        <w:spacing w:after="0" w:line="240" w:lineRule="auto"/>
        <w:ind w:left="1134" w:right="-316" w:hanging="567"/>
        <w:jc w:val="both"/>
        <w:rPr>
          <w:rFonts w:ascii="Tahoma" w:eastAsia="Calibri" w:hAnsi="Tahoma" w:cs="Tahoma"/>
          <w:i/>
          <w:lang w:val="es-ES" w:eastAsia="es-ES"/>
        </w:rPr>
      </w:pPr>
      <w:r w:rsidRPr="006F39BE">
        <w:rPr>
          <w:rFonts w:ascii="Tahoma" w:eastAsia="Calibri" w:hAnsi="Tahoma" w:cs="Tahoma"/>
          <w:i/>
          <w:lang w:val="es-ES" w:eastAsia="es-ES"/>
        </w:rPr>
        <w:t>“(…)</w:t>
      </w:r>
    </w:p>
    <w:p w:rsidR="006F39BE" w:rsidRPr="006F39BE" w:rsidRDefault="006F39BE" w:rsidP="006F39BE">
      <w:pPr>
        <w:numPr>
          <w:ilvl w:val="0"/>
          <w:numId w:val="9"/>
        </w:numPr>
        <w:tabs>
          <w:tab w:val="num" w:pos="3040"/>
        </w:tabs>
        <w:spacing w:after="0" w:line="240" w:lineRule="auto"/>
        <w:ind w:left="1134" w:right="-316" w:hanging="567"/>
        <w:contextualSpacing/>
        <w:jc w:val="both"/>
        <w:rPr>
          <w:rFonts w:ascii="Tahoma" w:eastAsia="Calibri" w:hAnsi="Tahoma" w:cs="Tahoma"/>
          <w:i/>
          <w:lang w:val="es-ES" w:eastAsia="es-ES"/>
        </w:rPr>
      </w:pPr>
      <w:r w:rsidRPr="006F39BE">
        <w:rPr>
          <w:rFonts w:ascii="Tahoma" w:eastAsia="Calibri" w:hAnsi="Tahoma" w:cs="Tahoma"/>
          <w:i/>
          <w:lang w:val="es-ES" w:eastAsia="es-ES"/>
        </w:rPr>
        <w:t xml:space="preserve">Que, como lo señala la legislación sustantiva civil se halla exento de responsabilidad aquel que por negligencia, solo o culpa de terceros no alcanzó </w:t>
      </w:r>
      <w:r w:rsidRPr="006F39BE">
        <w:rPr>
          <w:rFonts w:ascii="Tahoma" w:eastAsia="Calibri" w:hAnsi="Tahoma" w:cs="Tahoma"/>
          <w:i/>
          <w:lang w:val="es-ES" w:eastAsia="es-ES"/>
        </w:rPr>
        <w:lastRenderedPageBreak/>
        <w:t>a cumplir a fecha cierta con el acto a que estaba obligado, para cuyo efecto debe probarlo con prueba material y contrastar las circunstancias que rodearon al evento que dio origen al no deseado incumplimiento; esto es que por terceros no puede imputarse responsabilidad o sanción que implique un detrimento económico y perjuicio moral y en su prestigio también de nuestra representada, como detallaremos más adelante.</w:t>
      </w:r>
    </w:p>
    <w:p w:rsidR="006F39BE" w:rsidRPr="006F39BE" w:rsidRDefault="006F39BE" w:rsidP="006F39BE">
      <w:pPr>
        <w:spacing w:after="0" w:line="240" w:lineRule="auto"/>
        <w:ind w:left="1134" w:right="-316"/>
        <w:contextualSpacing/>
        <w:jc w:val="both"/>
        <w:rPr>
          <w:rFonts w:ascii="Tahoma" w:eastAsia="Calibri" w:hAnsi="Tahoma" w:cs="Tahoma"/>
          <w:i/>
          <w:lang w:val="es-ES" w:eastAsia="es-ES"/>
        </w:rPr>
      </w:pPr>
    </w:p>
    <w:p w:rsidR="006F39BE" w:rsidRPr="006F39BE" w:rsidRDefault="006F39BE" w:rsidP="006F39BE">
      <w:pPr>
        <w:numPr>
          <w:ilvl w:val="0"/>
          <w:numId w:val="9"/>
        </w:numPr>
        <w:tabs>
          <w:tab w:val="num" w:pos="3040"/>
        </w:tabs>
        <w:spacing w:after="0" w:line="240" w:lineRule="auto"/>
        <w:ind w:left="1134" w:right="-316" w:hanging="567"/>
        <w:contextualSpacing/>
        <w:jc w:val="both"/>
        <w:rPr>
          <w:rFonts w:ascii="Tahoma" w:eastAsia="Calibri" w:hAnsi="Tahoma" w:cs="Tahoma"/>
          <w:i/>
          <w:lang w:val="es-ES" w:eastAsia="es-ES"/>
        </w:rPr>
      </w:pPr>
      <w:r w:rsidRPr="006F39BE">
        <w:rPr>
          <w:rFonts w:ascii="Tahoma" w:eastAsia="Calibri" w:hAnsi="Tahoma" w:cs="Tahoma"/>
          <w:i/>
          <w:lang w:val="es-ES" w:eastAsia="es-ES"/>
        </w:rPr>
        <w:t>Así tenemos que, las cartas fianzas fueron solicitadas el 25 de Marzo del 2010, según la propia fecha de la carta fianza, pero por problemas propios de la empresa EDPYMES PROEMPRESA S.A., se fueron dilatando la entrega a nuestro favor, para efectos de cumplir con uno de los requisitos y único que nos faltaba al adquirir la Buena Pro; se pagaron y entregaron las cartas fianzas el día 15 de Junio del 2010, fecha límite que teníamos para cumplir con la entrega de las mismas en la sede del Ministerio de Relaciones Exteriores, nos fueron entregadas a las 19:43 horas del citado día, según consta de los ticketes de caja de la referida empresa, luego de lo cual concurrimos a la sede del Ministerio, pues es harto sabido que operan hasta las 20:00 horas los comités concursales para estos efectos, dentro de las sedes del Ministerio señalado.</w:t>
      </w:r>
    </w:p>
    <w:p w:rsidR="006F39BE" w:rsidRPr="006F39BE" w:rsidRDefault="006F39BE" w:rsidP="006F39BE">
      <w:pPr>
        <w:pStyle w:val="Prrafodelista"/>
        <w:spacing w:after="0" w:line="240" w:lineRule="auto"/>
        <w:rPr>
          <w:rFonts w:ascii="Tahoma" w:eastAsia="Calibri" w:hAnsi="Tahoma" w:cs="Tahoma"/>
          <w:i/>
          <w:lang w:val="es-ES" w:eastAsia="es-ES"/>
        </w:rPr>
      </w:pPr>
    </w:p>
    <w:p w:rsidR="006F39BE" w:rsidRPr="006F39BE" w:rsidRDefault="006F39BE" w:rsidP="006F39BE">
      <w:pPr>
        <w:numPr>
          <w:ilvl w:val="0"/>
          <w:numId w:val="9"/>
        </w:numPr>
        <w:tabs>
          <w:tab w:val="num" w:pos="3040"/>
        </w:tabs>
        <w:spacing w:after="0" w:line="240" w:lineRule="auto"/>
        <w:ind w:left="1134" w:right="-316" w:hanging="567"/>
        <w:contextualSpacing/>
        <w:jc w:val="both"/>
        <w:rPr>
          <w:rFonts w:ascii="Tahoma" w:eastAsia="Calibri" w:hAnsi="Tahoma" w:cs="Tahoma"/>
          <w:i/>
          <w:lang w:val="es-ES" w:eastAsia="es-ES"/>
        </w:rPr>
      </w:pPr>
      <w:r w:rsidRPr="006F39BE">
        <w:rPr>
          <w:rFonts w:ascii="Tahoma" w:eastAsia="Calibri" w:hAnsi="Tahoma" w:cs="Tahoma"/>
          <w:i/>
          <w:lang w:val="es-ES" w:eastAsia="es-ES"/>
        </w:rPr>
        <w:t>Ingresamos a la sede del Ministerio con nuestro Gerente General José Antonio Verástegui Granda y el Asesor Enrique Eugenio Puyó Quispe; ello es fácil de contrastar solicitando un informe a la oficina de seguridad y control de ingresos de personas y/o concurrentes del citado Ministerio, para lo cual oficiará su despacho si los citados representados de CENCAR S.A.C., concurrieron a dicha sede.</w:t>
      </w:r>
    </w:p>
    <w:p w:rsidR="006F39BE" w:rsidRPr="006F39BE" w:rsidRDefault="006F39BE" w:rsidP="006F39BE">
      <w:pPr>
        <w:pStyle w:val="Prrafodelista"/>
        <w:spacing w:after="0" w:line="240" w:lineRule="auto"/>
        <w:rPr>
          <w:rFonts w:ascii="Tahoma" w:eastAsia="Calibri" w:hAnsi="Tahoma" w:cs="Tahoma"/>
          <w:i/>
          <w:lang w:val="es-ES" w:eastAsia="es-ES"/>
        </w:rPr>
      </w:pPr>
    </w:p>
    <w:p w:rsidR="006F39BE" w:rsidRPr="006F39BE" w:rsidRDefault="006F39BE" w:rsidP="006F39BE">
      <w:pPr>
        <w:numPr>
          <w:ilvl w:val="0"/>
          <w:numId w:val="9"/>
        </w:numPr>
        <w:tabs>
          <w:tab w:val="num" w:pos="3040"/>
        </w:tabs>
        <w:spacing w:after="0" w:line="240" w:lineRule="auto"/>
        <w:ind w:left="1134" w:right="-316" w:hanging="567"/>
        <w:contextualSpacing/>
        <w:jc w:val="both"/>
        <w:rPr>
          <w:rFonts w:ascii="Tahoma" w:eastAsia="Calibri" w:hAnsi="Tahoma" w:cs="Tahoma"/>
          <w:i/>
          <w:lang w:val="es-ES" w:eastAsia="es-ES"/>
        </w:rPr>
      </w:pPr>
      <w:r w:rsidRPr="006F39BE">
        <w:rPr>
          <w:rFonts w:ascii="Tahoma" w:eastAsia="Calibri" w:hAnsi="Tahoma" w:cs="Tahoma"/>
          <w:i/>
          <w:lang w:val="es-ES" w:eastAsia="es-ES"/>
        </w:rPr>
        <w:t>Empero de ello al intentar entregar las cartas fianzas, nos dimos con la ingrata sorpresa que se negaron a recepcionarlas, aduciendo que no podrían recibirnos las Cartas Fianzas Nros 010000019890 y 010000019904, ambas de fecha 07 de Junio de 2010, pero recién entregadas el 15 de Junio de 2010 y canceladas la misma fecha en la sede de la empresa EDPYMES PROEMPRESA S.A., como consta de las copias que adjunto, por tanto la demora de la entrega de dichos documentos es imputables a esta empresa, por su negligencia, de repente no premeditada, no puede ir en perjuicio de mi representada; si a ello agregamos que como consta en autos, la misma ostenta un record de cero en sanciones interpuesta por su institución, pues siempre nos hemos desempeñado bajos los términos de la meritocracia, la buena fe en mantener una conducta que exalta la probidad y conducta en el ejercicio empresarial y servicios que brindamos a las diversas instituciones públicas y privadas, justamente invocamos ello, pues, la negligencia no puede ir en desmerito de nuestro prestigio.(…)” (SIC).</w:t>
      </w:r>
    </w:p>
    <w:p w:rsidR="006F39BE" w:rsidRPr="006F39BE" w:rsidRDefault="006F39BE" w:rsidP="006F39BE">
      <w:pPr>
        <w:spacing w:after="0" w:line="240" w:lineRule="auto"/>
        <w:ind w:right="-316"/>
        <w:contextualSpacing/>
        <w:jc w:val="both"/>
        <w:rPr>
          <w:rFonts w:ascii="Tahoma" w:eastAsia="Calibri" w:hAnsi="Tahoma" w:cs="Tahoma"/>
          <w:i/>
          <w:lang w:val="es-ES" w:eastAsia="es-ES"/>
        </w:rPr>
      </w:pPr>
    </w:p>
    <w:p w:rsidR="006F39BE" w:rsidRPr="006F39BE" w:rsidRDefault="006F39BE" w:rsidP="006F39BE">
      <w:pPr>
        <w:numPr>
          <w:ilvl w:val="1"/>
          <w:numId w:val="8"/>
        </w:numPr>
        <w:tabs>
          <w:tab w:val="num" w:pos="540"/>
        </w:tabs>
        <w:spacing w:after="0" w:line="240" w:lineRule="auto"/>
        <w:ind w:left="540" w:right="-316" w:hanging="540"/>
        <w:jc w:val="both"/>
        <w:rPr>
          <w:rFonts w:ascii="Tahoma" w:eastAsia="Calibri" w:hAnsi="Tahoma" w:cs="Tahoma"/>
          <w:lang w:val="es-ES" w:eastAsia="es-ES"/>
        </w:rPr>
      </w:pPr>
      <w:r w:rsidRPr="006F39BE">
        <w:rPr>
          <w:rFonts w:ascii="Tahoma" w:eastAsia="Calibri" w:hAnsi="Tahoma" w:cs="Tahoma"/>
          <w:lang w:val="es-ES" w:eastAsia="es-ES"/>
        </w:rPr>
        <w:lastRenderedPageBreak/>
        <w:t>Con decreto de fecha 30 de junio de 2011, se tuvo por apersonada a la empresa CENCAR S.A.C., y se dispuso remitir el expediente a la Cuarta Sala del Tribunal para que resuelva.</w:t>
      </w:r>
    </w:p>
    <w:p w:rsidR="006F39BE" w:rsidRPr="006F39BE" w:rsidRDefault="006F39BE" w:rsidP="006F39BE">
      <w:pPr>
        <w:tabs>
          <w:tab w:val="num" w:pos="3040"/>
        </w:tabs>
        <w:spacing w:after="0" w:line="240" w:lineRule="auto"/>
        <w:ind w:left="540" w:right="-316"/>
        <w:jc w:val="both"/>
        <w:rPr>
          <w:rFonts w:ascii="Tahoma" w:eastAsia="Calibri" w:hAnsi="Tahoma" w:cs="Tahoma"/>
          <w:lang w:val="es-ES" w:eastAsia="es-ES"/>
        </w:rPr>
      </w:pPr>
    </w:p>
    <w:p w:rsidR="006F39BE" w:rsidRPr="006F39BE" w:rsidRDefault="006F39BE" w:rsidP="006F39BE">
      <w:pPr>
        <w:numPr>
          <w:ilvl w:val="1"/>
          <w:numId w:val="8"/>
        </w:numPr>
        <w:tabs>
          <w:tab w:val="num" w:pos="540"/>
        </w:tabs>
        <w:spacing w:after="0" w:line="240" w:lineRule="auto"/>
        <w:ind w:left="540" w:right="-316" w:hanging="540"/>
        <w:jc w:val="both"/>
        <w:rPr>
          <w:rFonts w:ascii="Tahoma" w:eastAsia="Calibri" w:hAnsi="Tahoma" w:cs="Tahoma"/>
          <w:lang w:val="es-ES" w:eastAsia="es-ES"/>
        </w:rPr>
      </w:pPr>
      <w:r w:rsidRPr="006F39BE">
        <w:rPr>
          <w:rFonts w:ascii="Tahoma" w:eastAsia="Calibri" w:hAnsi="Tahoma" w:cs="Tahoma"/>
          <w:lang w:val="es-ES" w:eastAsia="es-ES"/>
        </w:rPr>
        <w:t>Con decreto de fecha 26 de Julio de 2011, la Cuarta Sala del Tribunal, solicitó la siguiente información adicional:</w:t>
      </w:r>
    </w:p>
    <w:p w:rsidR="006F39BE" w:rsidRPr="006F39BE" w:rsidRDefault="006F39BE" w:rsidP="006F39BE">
      <w:pPr>
        <w:pStyle w:val="Prrafodelista"/>
        <w:spacing w:after="0" w:line="240" w:lineRule="auto"/>
        <w:rPr>
          <w:rFonts w:ascii="Tahoma" w:eastAsia="Calibri" w:hAnsi="Tahoma" w:cs="Tahoma"/>
          <w:lang w:val="es-ES" w:eastAsia="es-ES"/>
        </w:rPr>
      </w:pPr>
    </w:p>
    <w:p w:rsidR="006F39BE" w:rsidRPr="006F39BE" w:rsidRDefault="006F39BE" w:rsidP="006F39BE">
      <w:pPr>
        <w:spacing w:after="0" w:line="240" w:lineRule="auto"/>
        <w:ind w:left="567"/>
        <w:jc w:val="both"/>
        <w:rPr>
          <w:rFonts w:ascii="Tahoma" w:eastAsia="Times New Roman" w:hAnsi="Tahoma" w:cs="Tahoma"/>
          <w:b/>
          <w:i/>
          <w:lang w:val="es-ES" w:eastAsia="es-ES"/>
        </w:rPr>
      </w:pPr>
      <w:r w:rsidRPr="006F39BE">
        <w:rPr>
          <w:rFonts w:ascii="Tahoma" w:eastAsia="Times New Roman" w:hAnsi="Tahoma" w:cs="Tahoma"/>
          <w:b/>
          <w:i/>
          <w:lang w:val="es-ES" w:eastAsia="es-ES"/>
        </w:rPr>
        <w:t>“(…) A LA EMPRESA EDPYMES PROEMPRESA S.A.</w:t>
      </w:r>
    </w:p>
    <w:p w:rsidR="006F39BE" w:rsidRPr="006F39BE" w:rsidRDefault="006F39BE" w:rsidP="006F39BE">
      <w:pPr>
        <w:spacing w:after="0" w:line="240" w:lineRule="auto"/>
        <w:ind w:left="567"/>
        <w:jc w:val="both"/>
        <w:rPr>
          <w:rFonts w:ascii="Tahoma" w:eastAsia="Times New Roman" w:hAnsi="Tahoma" w:cs="Tahoma"/>
          <w:i/>
          <w:lang w:val="es-ES" w:eastAsia="es-ES"/>
        </w:rPr>
      </w:pPr>
    </w:p>
    <w:p w:rsidR="006F39BE" w:rsidRPr="006F39BE" w:rsidRDefault="006F39BE" w:rsidP="006F39BE">
      <w:pPr>
        <w:spacing w:after="0" w:line="240" w:lineRule="auto"/>
        <w:ind w:left="567"/>
        <w:jc w:val="both"/>
        <w:rPr>
          <w:rFonts w:ascii="Tahoma" w:eastAsia="Times New Roman" w:hAnsi="Tahoma" w:cs="Tahoma"/>
          <w:i/>
          <w:lang w:eastAsia="es-ES"/>
        </w:rPr>
      </w:pPr>
      <w:r w:rsidRPr="006F39BE">
        <w:rPr>
          <w:rFonts w:ascii="Tahoma" w:eastAsia="Times New Roman" w:hAnsi="Tahoma" w:cs="Tahoma"/>
          <w:i/>
          <w:lang w:val="es-ES_tradnl" w:eastAsia="es-ES"/>
        </w:rPr>
        <w:t xml:space="preserve">Sírvase informar </w:t>
      </w:r>
      <w:r w:rsidRPr="006F39BE">
        <w:rPr>
          <w:rFonts w:ascii="Tahoma" w:eastAsia="Times New Roman" w:hAnsi="Tahoma" w:cs="Tahoma"/>
          <w:i/>
          <w:lang w:eastAsia="es-ES"/>
        </w:rPr>
        <w:t>respecto de las Cartas Fianzas Nros 010000019890 y 010000019904 (cuyas copias se adjuntan), de fechas 07 de junio de 2010, respectivamente, debiendo señalar en qué fecha la empresa CENCAR S.A.C., presentó la solicitud para la emisión de las antes citadas cartas, y de ser el caso, informar cuál fue el trámite realizado a dicha solicitud y la respuesta dada a dicha empresa. Asimismo, se le solicita sirva señalar con qué frecuencia su representada emite cartas fianzas a las empresas que lo solicitan. (…)”</w:t>
      </w:r>
    </w:p>
    <w:p w:rsidR="006F39BE" w:rsidRPr="006F39BE" w:rsidRDefault="006F39BE" w:rsidP="006F39BE">
      <w:pPr>
        <w:tabs>
          <w:tab w:val="num" w:pos="3040"/>
        </w:tabs>
        <w:spacing w:after="0" w:line="240" w:lineRule="auto"/>
        <w:ind w:left="540" w:right="-316"/>
        <w:jc w:val="both"/>
        <w:rPr>
          <w:rFonts w:ascii="Tahoma" w:eastAsia="Calibri" w:hAnsi="Tahoma" w:cs="Tahoma"/>
          <w:lang w:val="es-ES" w:eastAsia="es-ES"/>
        </w:rPr>
      </w:pPr>
    </w:p>
    <w:p w:rsidR="006F39BE" w:rsidRPr="006F39BE" w:rsidRDefault="006F39BE" w:rsidP="006F39BE">
      <w:pPr>
        <w:numPr>
          <w:ilvl w:val="1"/>
          <w:numId w:val="8"/>
        </w:numPr>
        <w:tabs>
          <w:tab w:val="num" w:pos="540"/>
        </w:tabs>
        <w:spacing w:after="0" w:line="240" w:lineRule="auto"/>
        <w:ind w:left="540" w:right="-316" w:hanging="540"/>
        <w:jc w:val="both"/>
        <w:rPr>
          <w:rFonts w:ascii="Tahoma" w:eastAsia="Calibri" w:hAnsi="Tahoma" w:cs="Tahoma"/>
          <w:lang w:val="es-ES" w:eastAsia="es-ES"/>
        </w:rPr>
      </w:pPr>
      <w:r w:rsidRPr="006F39BE">
        <w:rPr>
          <w:rFonts w:ascii="Tahoma" w:eastAsia="Calibri" w:hAnsi="Tahoma" w:cs="Tahoma"/>
          <w:lang w:val="es-ES" w:eastAsia="es-ES"/>
        </w:rPr>
        <w:t>Con fecha 05 de Agosto de 2011, la empresa EDPYMES PROEMPRESA S.A., remitió la información solicitada, manifestando lo siguiente:</w:t>
      </w:r>
    </w:p>
    <w:p w:rsidR="006F39BE" w:rsidRPr="006F39BE" w:rsidRDefault="006F39BE" w:rsidP="006F39BE">
      <w:pPr>
        <w:tabs>
          <w:tab w:val="num" w:pos="3040"/>
        </w:tabs>
        <w:spacing w:after="0" w:line="240" w:lineRule="auto"/>
        <w:ind w:left="540" w:right="-316"/>
        <w:jc w:val="both"/>
        <w:rPr>
          <w:rFonts w:ascii="Tahoma" w:eastAsia="Calibri" w:hAnsi="Tahoma" w:cs="Tahoma"/>
          <w:lang w:val="es-ES" w:eastAsia="es-ES"/>
        </w:rPr>
      </w:pPr>
    </w:p>
    <w:p w:rsidR="006F39BE" w:rsidRPr="006F39BE" w:rsidRDefault="006F39BE" w:rsidP="006F39BE">
      <w:pPr>
        <w:tabs>
          <w:tab w:val="num" w:pos="3040"/>
        </w:tabs>
        <w:spacing w:after="0" w:line="240" w:lineRule="auto"/>
        <w:ind w:left="540" w:right="-316"/>
        <w:jc w:val="both"/>
        <w:rPr>
          <w:rFonts w:ascii="Tahoma" w:eastAsia="Calibri" w:hAnsi="Tahoma" w:cs="Tahoma"/>
          <w:i/>
          <w:lang w:val="es-ES" w:eastAsia="es-ES"/>
        </w:rPr>
      </w:pPr>
      <w:r w:rsidRPr="006F39BE">
        <w:rPr>
          <w:rFonts w:ascii="Tahoma" w:eastAsia="Calibri" w:hAnsi="Tahoma" w:cs="Tahoma"/>
          <w:i/>
          <w:lang w:val="es-ES" w:eastAsia="es-ES"/>
        </w:rPr>
        <w:t xml:space="preserve">“(…) </w:t>
      </w:r>
      <w:r w:rsidRPr="006F39BE">
        <w:rPr>
          <w:rFonts w:ascii="Tahoma" w:eastAsia="Calibri" w:hAnsi="Tahoma" w:cs="Tahoma"/>
          <w:b/>
          <w:i/>
          <w:lang w:val="es-ES" w:eastAsia="es-ES"/>
        </w:rPr>
        <w:t>En cuanto a la fecha en que CENCAR S.A.C., solicitó las Cartas Fianzas a nuestra institución</w:t>
      </w:r>
      <w:r w:rsidRPr="006F39BE">
        <w:rPr>
          <w:rFonts w:ascii="Tahoma" w:eastAsia="Calibri" w:hAnsi="Tahoma" w:cs="Tahoma"/>
          <w:i/>
          <w:lang w:val="es-ES" w:eastAsia="es-ES"/>
        </w:rPr>
        <w:t>:</w:t>
      </w:r>
    </w:p>
    <w:p w:rsidR="006F39BE" w:rsidRPr="006F39BE" w:rsidRDefault="006F39BE" w:rsidP="006F39BE">
      <w:pPr>
        <w:tabs>
          <w:tab w:val="num" w:pos="3040"/>
        </w:tabs>
        <w:spacing w:after="0" w:line="240" w:lineRule="auto"/>
        <w:ind w:left="540" w:right="-316"/>
        <w:jc w:val="both"/>
        <w:rPr>
          <w:rFonts w:ascii="Tahoma" w:eastAsia="Calibri" w:hAnsi="Tahoma" w:cs="Tahoma"/>
          <w:i/>
          <w:lang w:val="es-ES" w:eastAsia="es-ES"/>
        </w:rPr>
      </w:pPr>
    </w:p>
    <w:p w:rsidR="006F39BE" w:rsidRPr="006F39BE" w:rsidRDefault="006F39BE" w:rsidP="006F39BE">
      <w:pPr>
        <w:tabs>
          <w:tab w:val="num" w:pos="3040"/>
        </w:tabs>
        <w:spacing w:after="0" w:line="240" w:lineRule="auto"/>
        <w:ind w:left="540" w:right="-316"/>
        <w:jc w:val="both"/>
        <w:rPr>
          <w:rFonts w:ascii="Tahoma" w:eastAsia="Calibri" w:hAnsi="Tahoma" w:cs="Tahoma"/>
          <w:i/>
          <w:lang w:val="es-ES" w:eastAsia="es-ES"/>
        </w:rPr>
      </w:pPr>
      <w:r w:rsidRPr="006F39BE">
        <w:rPr>
          <w:rFonts w:ascii="Tahoma" w:eastAsia="Calibri" w:hAnsi="Tahoma" w:cs="Tahoma"/>
          <w:i/>
          <w:lang w:val="es-ES" w:eastAsia="es-ES"/>
        </w:rPr>
        <w:t>Mediante Carta NBO_OM152-2010 el 25 de Mayo del 2010 CENCAR solicitó una Carta Fianza por Fiel Cumplimiento por el importe de S/. 9, 999 Nuevos Soles.</w:t>
      </w:r>
    </w:p>
    <w:p w:rsidR="006F39BE" w:rsidRPr="006F39BE" w:rsidRDefault="006F39BE" w:rsidP="006F39BE">
      <w:pPr>
        <w:tabs>
          <w:tab w:val="num" w:pos="3040"/>
        </w:tabs>
        <w:spacing w:after="0" w:line="240" w:lineRule="auto"/>
        <w:ind w:left="540" w:right="-316"/>
        <w:jc w:val="both"/>
        <w:rPr>
          <w:rFonts w:ascii="Tahoma" w:eastAsia="Calibri" w:hAnsi="Tahoma" w:cs="Tahoma"/>
          <w:i/>
          <w:lang w:val="es-ES" w:eastAsia="es-ES"/>
        </w:rPr>
      </w:pPr>
      <w:r w:rsidRPr="006F39BE">
        <w:rPr>
          <w:rFonts w:ascii="Tahoma" w:eastAsia="Calibri" w:hAnsi="Tahoma" w:cs="Tahoma"/>
          <w:i/>
          <w:lang w:val="es-ES" w:eastAsia="es-ES"/>
        </w:rPr>
        <w:t>Mediante Carta NBO_OM154-2010 el 25 de Mayo del 2010 CENCAR solicitó una Carta Fianza por el Valor Diferencial por el importe de S/. 16, 738.30 Nuevos Soles.</w:t>
      </w:r>
    </w:p>
    <w:p w:rsidR="006F39BE" w:rsidRPr="006F39BE" w:rsidRDefault="006F39BE" w:rsidP="006F39BE">
      <w:pPr>
        <w:tabs>
          <w:tab w:val="num" w:pos="3040"/>
        </w:tabs>
        <w:spacing w:after="0" w:line="240" w:lineRule="auto"/>
        <w:ind w:left="540" w:right="-316"/>
        <w:jc w:val="both"/>
        <w:rPr>
          <w:rFonts w:ascii="Tahoma" w:eastAsia="Calibri" w:hAnsi="Tahoma" w:cs="Tahoma"/>
          <w:i/>
          <w:lang w:val="es-ES" w:eastAsia="es-ES"/>
        </w:rPr>
      </w:pPr>
    </w:p>
    <w:p w:rsidR="006F39BE" w:rsidRPr="006F39BE" w:rsidRDefault="006F39BE" w:rsidP="006F39BE">
      <w:pPr>
        <w:tabs>
          <w:tab w:val="num" w:pos="3040"/>
        </w:tabs>
        <w:spacing w:after="0" w:line="240" w:lineRule="auto"/>
        <w:ind w:left="540" w:right="-316"/>
        <w:jc w:val="both"/>
        <w:rPr>
          <w:rFonts w:ascii="Tahoma" w:eastAsia="Calibri" w:hAnsi="Tahoma" w:cs="Tahoma"/>
          <w:b/>
          <w:i/>
          <w:lang w:val="es-ES" w:eastAsia="es-ES"/>
        </w:rPr>
      </w:pPr>
      <w:r w:rsidRPr="006F39BE">
        <w:rPr>
          <w:rFonts w:ascii="Tahoma" w:eastAsia="Calibri" w:hAnsi="Tahoma" w:cs="Tahoma"/>
          <w:b/>
          <w:i/>
          <w:lang w:val="es-ES" w:eastAsia="es-ES"/>
        </w:rPr>
        <w:t>En Cuanto al trámite realizado a dicha solicitud</w:t>
      </w:r>
    </w:p>
    <w:p w:rsidR="006F39BE" w:rsidRPr="006F39BE" w:rsidRDefault="006F39BE" w:rsidP="006F39BE">
      <w:pPr>
        <w:tabs>
          <w:tab w:val="num" w:pos="3040"/>
        </w:tabs>
        <w:spacing w:after="0" w:line="240" w:lineRule="auto"/>
        <w:ind w:left="540" w:right="-316"/>
        <w:jc w:val="both"/>
        <w:rPr>
          <w:rFonts w:ascii="Tahoma" w:eastAsia="Calibri" w:hAnsi="Tahoma" w:cs="Tahoma"/>
          <w:i/>
          <w:lang w:val="es-ES" w:eastAsia="es-ES"/>
        </w:rPr>
      </w:pPr>
    </w:p>
    <w:p w:rsidR="006F39BE" w:rsidRPr="006F39BE" w:rsidRDefault="006F39BE" w:rsidP="006F39BE">
      <w:pPr>
        <w:tabs>
          <w:tab w:val="num" w:pos="3040"/>
        </w:tabs>
        <w:spacing w:after="0" w:line="240" w:lineRule="auto"/>
        <w:ind w:left="540" w:right="-316"/>
        <w:jc w:val="both"/>
        <w:rPr>
          <w:rFonts w:ascii="Tahoma" w:eastAsia="Calibri" w:hAnsi="Tahoma" w:cs="Tahoma"/>
          <w:i/>
          <w:lang w:val="es-ES" w:eastAsia="es-ES"/>
        </w:rPr>
      </w:pPr>
      <w:r w:rsidRPr="006F39BE">
        <w:rPr>
          <w:rFonts w:ascii="Tahoma" w:eastAsia="Calibri" w:hAnsi="Tahoma" w:cs="Tahoma"/>
          <w:i/>
          <w:lang w:val="es-ES" w:eastAsia="es-ES"/>
        </w:rPr>
        <w:t>EdpymesProempresa S.A., una vez que recibe la solicitud de emisión de carta fianza ha procedido a la evaluación del cliente con el fin de determinar la factibilidad en la aprobación del crédito así como la determinación de las garantías. Aprobado el crédito se procedió a la emisión de la carta fianza.</w:t>
      </w:r>
    </w:p>
    <w:p w:rsidR="006F39BE" w:rsidRPr="006F39BE" w:rsidRDefault="006F39BE" w:rsidP="006F39BE">
      <w:pPr>
        <w:tabs>
          <w:tab w:val="num" w:pos="3040"/>
        </w:tabs>
        <w:spacing w:after="0" w:line="240" w:lineRule="auto"/>
        <w:ind w:left="540" w:right="-316"/>
        <w:jc w:val="both"/>
        <w:rPr>
          <w:rFonts w:ascii="Tahoma" w:eastAsia="Calibri" w:hAnsi="Tahoma" w:cs="Tahoma"/>
          <w:i/>
          <w:lang w:val="es-ES" w:eastAsia="es-ES"/>
        </w:rPr>
      </w:pPr>
    </w:p>
    <w:p w:rsidR="006F39BE" w:rsidRPr="006F39BE" w:rsidRDefault="006F39BE" w:rsidP="006F39BE">
      <w:pPr>
        <w:tabs>
          <w:tab w:val="num" w:pos="3040"/>
        </w:tabs>
        <w:spacing w:after="0" w:line="240" w:lineRule="auto"/>
        <w:ind w:left="540" w:right="-316"/>
        <w:jc w:val="both"/>
        <w:rPr>
          <w:rFonts w:ascii="Tahoma" w:eastAsia="Calibri" w:hAnsi="Tahoma" w:cs="Tahoma"/>
          <w:b/>
          <w:i/>
          <w:lang w:val="es-ES" w:eastAsia="es-ES"/>
        </w:rPr>
      </w:pPr>
      <w:r w:rsidRPr="006F39BE">
        <w:rPr>
          <w:rFonts w:ascii="Tahoma" w:eastAsia="Calibri" w:hAnsi="Tahoma" w:cs="Tahoma"/>
          <w:b/>
          <w:i/>
          <w:lang w:val="es-ES" w:eastAsia="es-ES"/>
        </w:rPr>
        <w:t>En cuanto a la fecha en que se le dio respuesta a CENCAR S.A.C.</w:t>
      </w:r>
    </w:p>
    <w:p w:rsidR="006F39BE" w:rsidRPr="006F39BE" w:rsidRDefault="006F39BE" w:rsidP="006F39BE">
      <w:pPr>
        <w:tabs>
          <w:tab w:val="num" w:pos="3040"/>
        </w:tabs>
        <w:spacing w:after="0" w:line="240" w:lineRule="auto"/>
        <w:ind w:left="540" w:right="-316"/>
        <w:jc w:val="both"/>
        <w:rPr>
          <w:rFonts w:ascii="Tahoma" w:eastAsia="Calibri" w:hAnsi="Tahoma" w:cs="Tahoma"/>
          <w:i/>
          <w:lang w:val="es-ES" w:eastAsia="es-ES"/>
        </w:rPr>
      </w:pPr>
    </w:p>
    <w:p w:rsidR="006F39BE" w:rsidRPr="006F39BE" w:rsidRDefault="006F39BE" w:rsidP="006F39BE">
      <w:pPr>
        <w:tabs>
          <w:tab w:val="num" w:pos="3040"/>
        </w:tabs>
        <w:spacing w:after="0" w:line="240" w:lineRule="auto"/>
        <w:ind w:left="540" w:right="-316"/>
        <w:jc w:val="both"/>
        <w:rPr>
          <w:rFonts w:ascii="Tahoma" w:eastAsia="Calibri" w:hAnsi="Tahoma" w:cs="Tahoma"/>
          <w:i/>
          <w:lang w:val="es-ES" w:eastAsia="es-ES"/>
        </w:rPr>
      </w:pPr>
      <w:r w:rsidRPr="006F39BE">
        <w:rPr>
          <w:rFonts w:ascii="Tahoma" w:eastAsia="Calibri" w:hAnsi="Tahoma" w:cs="Tahoma"/>
          <w:i/>
          <w:lang w:val="es-ES" w:eastAsia="es-ES"/>
        </w:rPr>
        <w:t xml:space="preserve">Al respecto le manifestamos que hemos dado respuesta a CENCAR de la aprobación de la carta fianza con su emisión el 07 de Junio del 2010 (…)” (SIC). </w:t>
      </w:r>
    </w:p>
    <w:p w:rsidR="006F39BE" w:rsidRPr="006F39BE" w:rsidRDefault="006F39BE" w:rsidP="006F39BE">
      <w:pPr>
        <w:tabs>
          <w:tab w:val="num" w:pos="3040"/>
        </w:tabs>
        <w:spacing w:after="0" w:line="240" w:lineRule="auto"/>
        <w:ind w:left="540" w:right="-316"/>
        <w:jc w:val="both"/>
        <w:rPr>
          <w:rFonts w:ascii="Tahoma" w:eastAsia="Calibri" w:hAnsi="Tahoma" w:cs="Tahoma"/>
          <w:lang w:val="es-ES" w:eastAsia="es-ES"/>
        </w:rPr>
      </w:pPr>
    </w:p>
    <w:p w:rsidR="006F39BE" w:rsidRPr="006F39BE" w:rsidRDefault="006F39BE" w:rsidP="006F39BE">
      <w:pPr>
        <w:numPr>
          <w:ilvl w:val="1"/>
          <w:numId w:val="8"/>
        </w:numPr>
        <w:tabs>
          <w:tab w:val="clear" w:pos="1420"/>
          <w:tab w:val="num" w:pos="567"/>
        </w:tabs>
        <w:spacing w:after="0" w:line="240" w:lineRule="auto"/>
        <w:ind w:left="567" w:right="-316" w:hanging="567"/>
        <w:jc w:val="both"/>
        <w:rPr>
          <w:rFonts w:ascii="Tahoma" w:eastAsia="Calibri" w:hAnsi="Tahoma" w:cs="Tahoma"/>
          <w:lang w:val="es-ES" w:eastAsia="es-ES"/>
        </w:rPr>
      </w:pPr>
      <w:r w:rsidRPr="006F39BE">
        <w:rPr>
          <w:rFonts w:ascii="Tahoma" w:eastAsia="Calibri" w:hAnsi="Tahoma" w:cs="Tahoma"/>
          <w:lang w:val="es-ES" w:eastAsia="es-ES"/>
        </w:rPr>
        <w:t>Con decreto de fecha 10 de Agosto de 2011, la Cuarta Sala del Tribunal, solicitó la siguiente información adicional:</w:t>
      </w:r>
    </w:p>
    <w:p w:rsidR="006F39BE" w:rsidRPr="006F39BE" w:rsidRDefault="006F39BE" w:rsidP="006F39BE">
      <w:pPr>
        <w:spacing w:after="0" w:line="240" w:lineRule="auto"/>
        <w:ind w:left="567" w:right="-316"/>
        <w:jc w:val="both"/>
        <w:rPr>
          <w:rFonts w:ascii="Tahoma" w:eastAsia="Calibri" w:hAnsi="Tahoma" w:cs="Tahoma"/>
          <w:lang w:val="es-ES" w:eastAsia="es-ES"/>
        </w:rPr>
      </w:pPr>
    </w:p>
    <w:p w:rsidR="006F39BE" w:rsidRPr="006F39BE" w:rsidRDefault="006F39BE" w:rsidP="006F39BE">
      <w:pPr>
        <w:ind w:left="567"/>
        <w:jc w:val="both"/>
        <w:rPr>
          <w:rFonts w:ascii="Tahoma" w:eastAsia="Times New Roman" w:hAnsi="Tahoma" w:cs="Tahoma"/>
          <w:b/>
          <w:lang w:val="es-ES" w:eastAsia="es-ES"/>
        </w:rPr>
      </w:pPr>
      <w:r w:rsidRPr="006F39BE">
        <w:rPr>
          <w:rFonts w:ascii="Tahoma" w:eastAsia="Times New Roman" w:hAnsi="Tahoma" w:cs="Tahoma"/>
          <w:b/>
          <w:i/>
          <w:lang w:val="es-ES" w:eastAsia="es-ES"/>
        </w:rPr>
        <w:t xml:space="preserve">“(…) </w:t>
      </w:r>
      <w:r w:rsidRPr="006F39BE">
        <w:rPr>
          <w:rFonts w:ascii="Tahoma" w:eastAsia="Times New Roman" w:hAnsi="Tahoma" w:cs="Tahoma"/>
          <w:b/>
          <w:lang w:val="es-ES" w:eastAsia="es-ES"/>
        </w:rPr>
        <w:t>A LA EMPRESA EDPYMES PROEMPRESA S.A.</w:t>
      </w:r>
    </w:p>
    <w:p w:rsidR="006F39BE" w:rsidRPr="006F39BE" w:rsidRDefault="006F39BE" w:rsidP="006F39BE">
      <w:pPr>
        <w:spacing w:after="0" w:line="240" w:lineRule="auto"/>
        <w:ind w:left="567"/>
        <w:jc w:val="both"/>
        <w:rPr>
          <w:rFonts w:ascii="Tahoma" w:eastAsia="Times New Roman" w:hAnsi="Tahoma" w:cs="Tahoma"/>
          <w:lang w:eastAsia="es-ES"/>
        </w:rPr>
      </w:pPr>
      <w:r w:rsidRPr="006F39BE">
        <w:rPr>
          <w:rFonts w:ascii="Tahoma" w:eastAsia="Times New Roman" w:hAnsi="Tahoma" w:cs="Tahoma"/>
          <w:lang w:val="es-ES_tradnl" w:eastAsia="es-ES"/>
        </w:rPr>
        <w:lastRenderedPageBreak/>
        <w:t>Sírvase informar, en razón al documento presentado por ustedes ante este Tribunal el 05 de Agosto del presente año, si al 07 de Junio del 2010, fecha de emisión de las Cartas Fianzas Nros</w:t>
      </w:r>
      <w:r w:rsidRPr="006F39BE">
        <w:rPr>
          <w:rFonts w:ascii="Tahoma" w:eastAsia="Times New Roman" w:hAnsi="Tahoma" w:cs="Tahoma"/>
          <w:lang w:eastAsia="es-ES"/>
        </w:rPr>
        <w:t>010000019890 y 010000019904 (cuyas copias se adjuntan), la empresa CENCAR S.A.C., ya podía hacer uso de las mismas, o si es que hubo algún impedimento por parte de ustedes que generara que recién al 15 de Junio del 2010 pudieran recoger dichas cartas fianzas.</w:t>
      </w:r>
      <w:r w:rsidRPr="006F39BE">
        <w:rPr>
          <w:rFonts w:ascii="Tahoma" w:eastAsia="Times New Roman" w:hAnsi="Tahoma" w:cs="Tahoma"/>
          <w:i/>
          <w:lang w:eastAsia="es-ES"/>
        </w:rPr>
        <w:t xml:space="preserve"> (…)”</w:t>
      </w:r>
    </w:p>
    <w:p w:rsidR="006F39BE" w:rsidRPr="006F39BE" w:rsidRDefault="006F39BE" w:rsidP="006F39BE">
      <w:pPr>
        <w:spacing w:after="0" w:line="240" w:lineRule="auto"/>
        <w:ind w:left="567"/>
        <w:jc w:val="both"/>
        <w:rPr>
          <w:rFonts w:ascii="Tahoma" w:eastAsia="Times New Roman" w:hAnsi="Tahoma" w:cs="Tahoma"/>
          <w:i/>
          <w:lang w:eastAsia="es-ES"/>
        </w:rPr>
      </w:pPr>
    </w:p>
    <w:p w:rsidR="006F39BE" w:rsidRPr="006F39BE" w:rsidRDefault="006F39BE" w:rsidP="006F39BE">
      <w:pPr>
        <w:numPr>
          <w:ilvl w:val="1"/>
          <w:numId w:val="8"/>
        </w:numPr>
        <w:tabs>
          <w:tab w:val="num" w:pos="540"/>
        </w:tabs>
        <w:spacing w:after="0" w:line="240" w:lineRule="auto"/>
        <w:ind w:left="540" w:right="-1" w:hanging="540"/>
        <w:jc w:val="both"/>
        <w:rPr>
          <w:rFonts w:ascii="Tahoma" w:eastAsia="Calibri" w:hAnsi="Tahoma" w:cs="Tahoma"/>
          <w:lang w:val="es-ES" w:eastAsia="es-ES"/>
        </w:rPr>
      </w:pPr>
      <w:r w:rsidRPr="006F39BE">
        <w:rPr>
          <w:rFonts w:ascii="Tahoma" w:eastAsia="Calibri" w:hAnsi="Tahoma" w:cs="Tahoma"/>
          <w:lang w:val="es-ES" w:eastAsia="es-ES"/>
        </w:rPr>
        <w:t>Con fecha 16 de Agosto de 2011, la empresa EDPYMES PROEMPRESA S.A., remitió la información solicitada, manifestando lo siguiente:</w:t>
      </w:r>
    </w:p>
    <w:p w:rsidR="006F39BE" w:rsidRPr="006F39BE" w:rsidRDefault="006F39BE" w:rsidP="006F39BE">
      <w:pPr>
        <w:tabs>
          <w:tab w:val="num" w:pos="3040"/>
        </w:tabs>
        <w:spacing w:after="0" w:line="240" w:lineRule="auto"/>
        <w:ind w:left="540" w:right="-1"/>
        <w:jc w:val="both"/>
        <w:rPr>
          <w:rFonts w:ascii="Tahoma" w:eastAsia="Calibri" w:hAnsi="Tahoma" w:cs="Tahoma"/>
          <w:lang w:val="es-ES" w:eastAsia="es-ES"/>
        </w:rPr>
      </w:pPr>
    </w:p>
    <w:p w:rsidR="006F39BE" w:rsidRPr="006F39BE" w:rsidRDefault="006F39BE" w:rsidP="006F39BE">
      <w:pPr>
        <w:tabs>
          <w:tab w:val="num" w:pos="3040"/>
        </w:tabs>
        <w:spacing w:after="0" w:line="240" w:lineRule="auto"/>
        <w:ind w:left="540" w:right="-1"/>
        <w:jc w:val="both"/>
        <w:rPr>
          <w:rFonts w:ascii="Tahoma" w:eastAsia="Calibri" w:hAnsi="Tahoma" w:cs="Tahoma"/>
          <w:i/>
          <w:lang w:val="es-ES" w:eastAsia="es-ES"/>
        </w:rPr>
      </w:pPr>
      <w:r w:rsidRPr="006F39BE">
        <w:rPr>
          <w:rFonts w:ascii="Tahoma" w:eastAsia="Calibri" w:hAnsi="Tahoma" w:cs="Tahoma"/>
          <w:i/>
          <w:lang w:val="es-ES" w:eastAsia="es-ES"/>
        </w:rPr>
        <w:t>“(…) Una vez aprobadas las Cartas Fianzas y luego del proceso de evaluación y determinación de las garantías se procedió a su emisión el día 07 de Junio de 2010.</w:t>
      </w:r>
    </w:p>
    <w:p w:rsidR="006F39BE" w:rsidRPr="006F39BE" w:rsidRDefault="006F39BE" w:rsidP="006F39BE">
      <w:pPr>
        <w:tabs>
          <w:tab w:val="num" w:pos="3040"/>
        </w:tabs>
        <w:spacing w:after="0" w:line="240" w:lineRule="auto"/>
        <w:ind w:left="540" w:right="-1"/>
        <w:jc w:val="both"/>
        <w:rPr>
          <w:rFonts w:ascii="Tahoma" w:eastAsia="Calibri" w:hAnsi="Tahoma" w:cs="Tahoma"/>
          <w:i/>
          <w:lang w:val="es-ES" w:eastAsia="es-ES"/>
        </w:rPr>
      </w:pPr>
      <w:r w:rsidRPr="006F39BE">
        <w:rPr>
          <w:rFonts w:ascii="Tahoma" w:eastAsia="Calibri" w:hAnsi="Tahoma" w:cs="Tahoma"/>
          <w:i/>
          <w:lang w:val="es-ES" w:eastAsia="es-ES"/>
        </w:rPr>
        <w:t>Considerando que el proceso de constitución de la garantía a nuestro favor fue culminado el día 14 de Junio del 2010, se procedió al día siguiente, 15 de Junio de 2010 a entregar al cliente las dos cartas fianzas (…)”</w:t>
      </w:r>
    </w:p>
    <w:p w:rsidR="006F39BE" w:rsidRPr="006F39BE" w:rsidRDefault="006F39BE" w:rsidP="006F39BE">
      <w:pPr>
        <w:tabs>
          <w:tab w:val="num" w:pos="3040"/>
        </w:tabs>
        <w:spacing w:after="0" w:line="240" w:lineRule="auto"/>
        <w:ind w:left="540" w:right="-1"/>
        <w:jc w:val="both"/>
        <w:rPr>
          <w:rFonts w:ascii="Tahoma" w:eastAsia="Calibri" w:hAnsi="Tahoma" w:cs="Tahoma"/>
          <w:i/>
          <w:lang w:val="es-ES" w:eastAsia="es-ES"/>
        </w:rPr>
      </w:pPr>
    </w:p>
    <w:p w:rsidR="006F39BE" w:rsidRPr="006F39BE" w:rsidRDefault="006F39BE" w:rsidP="006F39BE">
      <w:pPr>
        <w:numPr>
          <w:ilvl w:val="1"/>
          <w:numId w:val="8"/>
        </w:numPr>
        <w:tabs>
          <w:tab w:val="clear" w:pos="1420"/>
          <w:tab w:val="num" w:pos="567"/>
        </w:tabs>
        <w:spacing w:after="0" w:line="240" w:lineRule="auto"/>
        <w:ind w:left="567" w:right="-316" w:hanging="567"/>
        <w:jc w:val="both"/>
        <w:rPr>
          <w:rFonts w:ascii="Tahoma" w:eastAsia="Calibri" w:hAnsi="Tahoma" w:cs="Tahoma"/>
          <w:lang w:val="es-ES" w:eastAsia="es-ES"/>
        </w:rPr>
      </w:pPr>
      <w:r w:rsidRPr="006F39BE">
        <w:rPr>
          <w:rFonts w:ascii="Tahoma" w:eastAsia="Calibri" w:hAnsi="Tahoma" w:cs="Tahoma"/>
          <w:lang w:val="es-ES" w:eastAsia="es-ES"/>
        </w:rPr>
        <w:t>Con decreto de fecha 26 de Agosto de 2011, la Cuarta Sala del Tribunal, solicitó la siguiente información adicional:</w:t>
      </w:r>
    </w:p>
    <w:p w:rsidR="006F39BE" w:rsidRPr="006F39BE" w:rsidRDefault="006F39BE" w:rsidP="006F39BE">
      <w:pPr>
        <w:tabs>
          <w:tab w:val="num" w:pos="567"/>
        </w:tabs>
        <w:spacing w:after="0" w:line="240" w:lineRule="auto"/>
        <w:ind w:left="567" w:right="-316" w:hanging="567"/>
        <w:jc w:val="both"/>
        <w:rPr>
          <w:rFonts w:ascii="Tahoma" w:eastAsia="Calibri" w:hAnsi="Tahoma" w:cs="Tahoma"/>
          <w:lang w:val="es-ES" w:eastAsia="es-ES"/>
        </w:rPr>
      </w:pPr>
    </w:p>
    <w:p w:rsidR="006F39BE" w:rsidRPr="006F39BE" w:rsidRDefault="006F39BE" w:rsidP="006F39BE">
      <w:pPr>
        <w:tabs>
          <w:tab w:val="num" w:pos="567"/>
        </w:tabs>
        <w:ind w:left="567"/>
        <w:jc w:val="both"/>
        <w:rPr>
          <w:rFonts w:ascii="Tahoma" w:eastAsia="Times New Roman" w:hAnsi="Tahoma" w:cs="Tahoma"/>
          <w:b/>
          <w:lang w:val="es-ES" w:eastAsia="es-ES"/>
        </w:rPr>
      </w:pPr>
      <w:r w:rsidRPr="006F39BE">
        <w:rPr>
          <w:rFonts w:ascii="Tahoma" w:eastAsia="Times New Roman" w:hAnsi="Tahoma" w:cs="Tahoma"/>
          <w:b/>
          <w:i/>
          <w:lang w:val="es-ES" w:eastAsia="es-ES"/>
        </w:rPr>
        <w:t xml:space="preserve">“(…) </w:t>
      </w:r>
      <w:r w:rsidRPr="006F39BE">
        <w:rPr>
          <w:rFonts w:ascii="Tahoma" w:eastAsia="Times New Roman" w:hAnsi="Tahoma" w:cs="Tahoma"/>
          <w:b/>
          <w:lang w:val="es-ES" w:eastAsia="es-ES"/>
        </w:rPr>
        <w:t>A LA EMPRESA EDPYMES PROEMPRESA S.A.</w:t>
      </w:r>
    </w:p>
    <w:p w:rsidR="006F39BE" w:rsidRPr="006F39BE" w:rsidRDefault="006F39BE" w:rsidP="006F39BE">
      <w:pPr>
        <w:spacing w:after="0" w:line="240" w:lineRule="auto"/>
        <w:jc w:val="both"/>
        <w:rPr>
          <w:rFonts w:ascii="Tahoma" w:eastAsia="Times New Roman" w:hAnsi="Tahoma" w:cs="Tahoma"/>
          <w:color w:val="444444"/>
          <w:lang w:eastAsia="es-PE"/>
        </w:rPr>
      </w:pPr>
    </w:p>
    <w:p w:rsidR="006F39BE" w:rsidRPr="006F39BE" w:rsidRDefault="006F39BE" w:rsidP="006F39BE">
      <w:pPr>
        <w:spacing w:after="0" w:line="240" w:lineRule="auto"/>
        <w:ind w:left="567"/>
        <w:jc w:val="both"/>
        <w:rPr>
          <w:rFonts w:ascii="Tahoma" w:eastAsia="Times New Roman" w:hAnsi="Tahoma" w:cs="Tahoma"/>
          <w:color w:val="000000"/>
          <w:lang w:val="es-ES_tradnl" w:eastAsia="es-PE"/>
        </w:rPr>
      </w:pPr>
      <w:r w:rsidRPr="006F39BE">
        <w:rPr>
          <w:rFonts w:ascii="Tahoma" w:eastAsia="Times New Roman" w:hAnsi="Tahoma" w:cs="Tahoma"/>
          <w:color w:val="000000"/>
          <w:lang w:val="es-ES_tradnl" w:eastAsia="es-PE"/>
        </w:rPr>
        <w:t>Sírvase informar detalladamente, en razón al documento presentado por ustedes ante este Tribunal el 16 de Agosto del presente año, en qué consiste el proceso de constitución de garantía a su favor, según menciona  en el último párrafo del escrito antes citado, así también informe si el tiempo empleado para dicha constitución de garantía dependió de alguna actuación de la empresa CENCAR S.A.C</w:t>
      </w:r>
      <w:r w:rsidRPr="006F39BE">
        <w:rPr>
          <w:rFonts w:ascii="Tahoma" w:eastAsia="Times New Roman" w:hAnsi="Tahoma" w:cs="Tahoma"/>
          <w:color w:val="000000"/>
          <w:lang w:eastAsia="es-PE"/>
        </w:rPr>
        <w:t xml:space="preserve">. </w:t>
      </w:r>
      <w:r w:rsidRPr="006F39BE">
        <w:rPr>
          <w:rFonts w:ascii="Tahoma" w:eastAsia="Times New Roman" w:hAnsi="Tahoma" w:cs="Tahoma"/>
          <w:i/>
          <w:lang w:eastAsia="es-ES"/>
        </w:rPr>
        <w:t>(…)”</w:t>
      </w:r>
    </w:p>
    <w:p w:rsidR="006F39BE" w:rsidRPr="006F39BE" w:rsidRDefault="006F39BE" w:rsidP="006F39BE">
      <w:pPr>
        <w:spacing w:after="0" w:line="240" w:lineRule="auto"/>
        <w:ind w:left="567"/>
        <w:jc w:val="both"/>
        <w:rPr>
          <w:rFonts w:ascii="Tahoma" w:eastAsia="Times New Roman" w:hAnsi="Tahoma" w:cs="Tahoma"/>
          <w:i/>
          <w:lang w:eastAsia="es-ES"/>
        </w:rPr>
      </w:pPr>
    </w:p>
    <w:p w:rsidR="006F39BE" w:rsidRPr="006F39BE" w:rsidRDefault="006F39BE" w:rsidP="006F39BE">
      <w:pPr>
        <w:pStyle w:val="Prrafodelista"/>
        <w:numPr>
          <w:ilvl w:val="0"/>
          <w:numId w:val="10"/>
        </w:numPr>
        <w:tabs>
          <w:tab w:val="clear" w:pos="1240"/>
          <w:tab w:val="num" w:pos="567"/>
        </w:tabs>
        <w:spacing w:after="0" w:line="240" w:lineRule="auto"/>
        <w:ind w:left="567" w:hanging="567"/>
        <w:jc w:val="both"/>
        <w:rPr>
          <w:rFonts w:ascii="Tahoma" w:hAnsi="Tahoma" w:cs="Tahoma"/>
          <w:lang w:val="es-ES_tradnl"/>
        </w:rPr>
      </w:pPr>
      <w:r w:rsidRPr="006F39BE">
        <w:rPr>
          <w:rFonts w:ascii="Tahoma" w:hAnsi="Tahoma" w:cs="Tahoma"/>
          <w:bCs/>
        </w:rPr>
        <w:t xml:space="preserve">Con decreto de fecha 05 de Septiembre del 2011, y en razón a la Resolución Nº </w:t>
      </w:r>
      <w:r w:rsidRPr="006F39BE">
        <w:rPr>
          <w:rFonts w:ascii="Tahoma" w:hAnsi="Tahoma" w:cs="Tahoma"/>
          <w:color w:val="000000"/>
        </w:rPr>
        <w:t>574-2011-OSCE/PRE de fecha 02 de Septiembre del mismo a</w:t>
      </w:r>
      <w:r w:rsidRPr="006F39BE">
        <w:rPr>
          <w:rFonts w:ascii="Tahoma" w:hAnsi="Tahoma" w:cs="Tahoma"/>
          <w:bCs/>
        </w:rPr>
        <w:t>ño, se reasignó el presente expediente administrativo a la Primera Sala del Tribunal para su evaluación.</w:t>
      </w:r>
    </w:p>
    <w:p w:rsidR="006F39BE" w:rsidRPr="006F39BE" w:rsidRDefault="006F39BE" w:rsidP="006F39BE">
      <w:pPr>
        <w:pStyle w:val="Prrafodelista"/>
        <w:spacing w:after="0" w:line="240" w:lineRule="auto"/>
        <w:ind w:left="567"/>
        <w:jc w:val="both"/>
        <w:rPr>
          <w:rFonts w:ascii="Tahoma" w:hAnsi="Tahoma" w:cs="Tahoma"/>
          <w:lang w:val="es-ES_tradnl"/>
        </w:rPr>
      </w:pPr>
    </w:p>
    <w:p w:rsidR="006F39BE" w:rsidRPr="006F39BE" w:rsidRDefault="006F39BE" w:rsidP="006F39BE">
      <w:pPr>
        <w:pStyle w:val="Prrafodelista"/>
        <w:numPr>
          <w:ilvl w:val="0"/>
          <w:numId w:val="10"/>
        </w:numPr>
        <w:tabs>
          <w:tab w:val="clear" w:pos="1240"/>
          <w:tab w:val="num" w:pos="567"/>
        </w:tabs>
        <w:spacing w:after="0" w:line="240" w:lineRule="auto"/>
        <w:ind w:left="567" w:hanging="567"/>
        <w:jc w:val="both"/>
        <w:rPr>
          <w:rFonts w:ascii="Tahoma" w:hAnsi="Tahoma" w:cs="Tahoma"/>
          <w:lang w:val="es-ES_tradnl"/>
        </w:rPr>
      </w:pPr>
      <w:r w:rsidRPr="006F39BE">
        <w:rPr>
          <w:rFonts w:ascii="Tahoma" w:eastAsia="Calibri" w:hAnsi="Tahoma" w:cs="Tahoma"/>
          <w:lang w:val="es-ES" w:eastAsia="es-ES"/>
        </w:rPr>
        <w:t>Con fecha 06 de Septiembre de 2011, la empresa EDPYMES PROEMPRESA S.A., remitió la información solicitada, manifestando lo siguiente:</w:t>
      </w:r>
    </w:p>
    <w:p w:rsidR="006F39BE" w:rsidRPr="006F39BE" w:rsidRDefault="006F39BE" w:rsidP="006F39BE">
      <w:pPr>
        <w:tabs>
          <w:tab w:val="num" w:pos="3040"/>
        </w:tabs>
        <w:spacing w:after="0" w:line="240" w:lineRule="auto"/>
        <w:ind w:left="540" w:right="-1"/>
        <w:jc w:val="both"/>
        <w:rPr>
          <w:rFonts w:ascii="Tahoma" w:eastAsia="Calibri" w:hAnsi="Tahoma" w:cs="Tahoma"/>
          <w:lang w:val="es-ES" w:eastAsia="es-ES"/>
        </w:rPr>
      </w:pPr>
    </w:p>
    <w:p w:rsidR="006F39BE" w:rsidRPr="006F39BE" w:rsidRDefault="006F39BE" w:rsidP="006F39BE">
      <w:pPr>
        <w:tabs>
          <w:tab w:val="num" w:pos="3040"/>
        </w:tabs>
        <w:spacing w:after="0" w:line="240" w:lineRule="auto"/>
        <w:ind w:left="540" w:right="-1"/>
        <w:jc w:val="both"/>
        <w:rPr>
          <w:rFonts w:ascii="Tahoma" w:eastAsia="Calibri" w:hAnsi="Tahoma" w:cs="Tahoma"/>
          <w:i/>
          <w:lang w:val="es-ES" w:eastAsia="es-ES"/>
        </w:rPr>
      </w:pPr>
      <w:r w:rsidRPr="006F39BE">
        <w:rPr>
          <w:rFonts w:ascii="Tahoma" w:eastAsia="Calibri" w:hAnsi="Tahoma" w:cs="Tahoma"/>
          <w:i/>
          <w:lang w:val="es-ES" w:eastAsia="es-ES"/>
        </w:rPr>
        <w:t xml:space="preserve">“(…) En ese sentido el proceso de constitución de una garantía para  el otorgamiento de una carta fianza es el mismo que para el otorgamiento de un crédito y consiste en que luego de la aprobación de la carta fianza, se determina el tipo de garantía que se entregará a Proempresa y a través del área de operaciones se hacen las coordinaciones con el cliente para proceder a su </w:t>
      </w:r>
      <w:r w:rsidRPr="006F39BE">
        <w:rPr>
          <w:rFonts w:ascii="Tahoma" w:eastAsia="Calibri" w:hAnsi="Tahoma" w:cs="Tahoma"/>
          <w:i/>
          <w:lang w:val="es-ES" w:eastAsia="es-ES"/>
        </w:rPr>
        <w:lastRenderedPageBreak/>
        <w:t>formalización (sea por entrega física o sea por entrega jurídica). Una vez que la garantía haya sido entregada se procede a la entrega física de la carta fianza.</w:t>
      </w:r>
    </w:p>
    <w:p w:rsidR="006F39BE" w:rsidRPr="006F39BE" w:rsidRDefault="006F39BE" w:rsidP="006F39BE">
      <w:pPr>
        <w:tabs>
          <w:tab w:val="num" w:pos="3040"/>
        </w:tabs>
        <w:spacing w:after="0" w:line="240" w:lineRule="auto"/>
        <w:ind w:left="540" w:right="-1"/>
        <w:jc w:val="both"/>
        <w:rPr>
          <w:rFonts w:ascii="Tahoma" w:eastAsia="Calibri" w:hAnsi="Tahoma" w:cs="Tahoma"/>
          <w:i/>
          <w:lang w:val="es-ES" w:eastAsia="es-ES"/>
        </w:rPr>
      </w:pPr>
      <w:r w:rsidRPr="006F39BE">
        <w:rPr>
          <w:rFonts w:ascii="Tahoma" w:eastAsia="Calibri" w:hAnsi="Tahoma" w:cs="Tahoma"/>
          <w:i/>
          <w:lang w:val="es-ES" w:eastAsia="es-ES"/>
        </w:rPr>
        <w:t>(…)</w:t>
      </w:r>
      <w:r w:rsidRPr="006F39BE">
        <w:rPr>
          <w:rFonts w:ascii="Tahoma" w:eastAsia="Calibri" w:hAnsi="Tahoma" w:cs="Tahoma"/>
          <w:i/>
          <w:lang w:val="es-ES" w:eastAsia="es-ES"/>
        </w:rPr>
        <w:br/>
        <w:t>De acuerdo con la constancia del depósito efectuado por el cliente CENCAR S.A.C., informamos que nuestro cliente procedió a realizar el depósito el día 14 de Junio del 2010 fecha desde la que se consideró la entrega física de la garantía.(…)”</w:t>
      </w:r>
    </w:p>
    <w:p w:rsidR="006F39BE" w:rsidRPr="00EE792B" w:rsidRDefault="006F39BE" w:rsidP="006F39BE">
      <w:pPr>
        <w:spacing w:after="0" w:line="240" w:lineRule="auto"/>
        <w:ind w:left="540" w:hanging="540"/>
        <w:jc w:val="both"/>
        <w:rPr>
          <w:rFonts w:ascii="Tahoma" w:eastAsia="Times New Roman" w:hAnsi="Tahoma" w:cs="Tahoma"/>
          <w:sz w:val="21"/>
          <w:szCs w:val="21"/>
          <w:lang w:val="es-ES" w:eastAsia="es-ES"/>
        </w:rPr>
      </w:pPr>
    </w:p>
    <w:p w:rsidR="006F39BE" w:rsidRPr="00EE792B" w:rsidRDefault="006F39BE" w:rsidP="006F39BE">
      <w:pPr>
        <w:spacing w:after="0" w:line="240" w:lineRule="auto"/>
        <w:ind w:firstLine="708"/>
        <w:rPr>
          <w:rFonts w:ascii="Tahoma" w:eastAsia="Times New Roman" w:hAnsi="Tahoma" w:cs="Tahoma"/>
          <w:b/>
          <w:sz w:val="21"/>
          <w:szCs w:val="21"/>
          <w:lang w:val="es-ES" w:eastAsia="es-ES"/>
        </w:rPr>
      </w:pPr>
      <w:r w:rsidRPr="00EE792B">
        <w:rPr>
          <w:rFonts w:ascii="Tahoma" w:eastAsia="Times New Roman" w:hAnsi="Tahoma" w:cs="Tahoma"/>
          <w:b/>
          <w:sz w:val="21"/>
          <w:szCs w:val="21"/>
          <w:lang w:val="es-ES" w:eastAsia="es-ES"/>
        </w:rPr>
        <w:t>FUNDAMENTACIÓN:</w:t>
      </w:r>
    </w:p>
    <w:p w:rsidR="006F39BE" w:rsidRPr="00EE792B" w:rsidRDefault="006F39BE" w:rsidP="006F39BE">
      <w:pPr>
        <w:spacing w:after="0" w:line="240" w:lineRule="auto"/>
        <w:ind w:left="540" w:hanging="540"/>
        <w:jc w:val="both"/>
        <w:rPr>
          <w:rFonts w:ascii="Tahoma" w:eastAsia="Times New Roman" w:hAnsi="Tahoma" w:cs="Tahoma"/>
          <w:sz w:val="21"/>
          <w:szCs w:val="21"/>
          <w:lang w:val="es-ES" w:eastAsia="es-ES"/>
        </w:rPr>
      </w:pPr>
    </w:p>
    <w:p w:rsidR="006F39BE" w:rsidRPr="006F39BE" w:rsidRDefault="006F39BE" w:rsidP="006F39BE">
      <w:pPr>
        <w:numPr>
          <w:ilvl w:val="0"/>
          <w:numId w:val="11"/>
        </w:numPr>
        <w:tabs>
          <w:tab w:val="num" w:pos="567"/>
        </w:tabs>
        <w:spacing w:after="0" w:line="240" w:lineRule="auto"/>
        <w:ind w:left="567" w:right="-1" w:hanging="567"/>
        <w:jc w:val="both"/>
        <w:rPr>
          <w:rFonts w:ascii="Tahoma" w:eastAsia="Times New Roman" w:hAnsi="Tahoma" w:cs="Tahoma"/>
          <w:lang w:val="es-MX" w:eastAsia="es-ES"/>
        </w:rPr>
      </w:pPr>
      <w:r w:rsidRPr="006F39BE">
        <w:rPr>
          <w:rFonts w:ascii="Tahoma" w:eastAsia="Times New Roman" w:hAnsi="Tahoma" w:cs="Tahoma"/>
          <w:lang w:val="es-ES" w:eastAsia="es-ES"/>
        </w:rPr>
        <w:t xml:space="preserve">El presente caso está referido a la supuesta responsabilidad de la empresa </w:t>
      </w:r>
      <w:r w:rsidRPr="006F39BE">
        <w:rPr>
          <w:rFonts w:ascii="Tahoma" w:eastAsia="Calibri" w:hAnsi="Tahoma" w:cs="Tahoma"/>
          <w:lang w:val="es-ES" w:eastAsia="es-ES"/>
        </w:rPr>
        <w:t>CENCAR S.A.C.</w:t>
      </w:r>
      <w:r w:rsidRPr="006F39BE">
        <w:rPr>
          <w:rFonts w:ascii="Tahoma" w:eastAsia="Times New Roman" w:hAnsi="Tahoma" w:cs="Tahoma"/>
          <w:lang w:eastAsia="es-ES"/>
        </w:rPr>
        <w:t>,</w:t>
      </w:r>
      <w:r w:rsidRPr="006F39BE">
        <w:rPr>
          <w:rFonts w:ascii="Tahoma" w:eastAsia="Times New Roman" w:hAnsi="Tahoma" w:cs="Tahoma"/>
          <w:lang w:val="es-ES" w:eastAsia="es-ES"/>
        </w:rPr>
        <w:t xml:space="preserve"> por no haber suscrito injustificadamente el contrato a pesar de haber ganado la buena pro de la </w:t>
      </w:r>
      <w:r w:rsidRPr="006F39BE">
        <w:rPr>
          <w:rFonts w:ascii="Tahoma" w:eastAsia="Calibri" w:hAnsi="Tahoma" w:cs="Tahoma"/>
          <w:lang w:val="es-ES_tradnl" w:eastAsia="es-ES"/>
        </w:rPr>
        <w:t>Adjudicación Directa Pública Nº 003-2010-RE (Primera Convocatoria) para la Contratación del Servicio de Instalación de puntos de red para la oficina de legalizaciones del Ministerio de Relaciones Exteriores.</w:t>
      </w:r>
    </w:p>
    <w:p w:rsidR="006F39BE" w:rsidRPr="006F39BE" w:rsidRDefault="006F39BE" w:rsidP="006F39BE">
      <w:pPr>
        <w:spacing w:after="0" w:line="240" w:lineRule="auto"/>
        <w:ind w:left="567" w:right="-1"/>
        <w:jc w:val="both"/>
        <w:rPr>
          <w:rFonts w:ascii="Tahoma" w:eastAsia="Times New Roman" w:hAnsi="Tahoma" w:cs="Tahoma"/>
          <w:lang w:val="es-MX" w:eastAsia="es-ES"/>
        </w:rPr>
      </w:pPr>
    </w:p>
    <w:p w:rsidR="006F39BE" w:rsidRPr="006F39BE" w:rsidRDefault="006F39BE" w:rsidP="006F39BE">
      <w:pPr>
        <w:numPr>
          <w:ilvl w:val="0"/>
          <w:numId w:val="11"/>
        </w:numPr>
        <w:tabs>
          <w:tab w:val="num" w:pos="567"/>
        </w:tabs>
        <w:spacing w:after="0" w:line="240" w:lineRule="auto"/>
        <w:ind w:left="567" w:right="-1" w:hanging="567"/>
        <w:jc w:val="both"/>
        <w:rPr>
          <w:rFonts w:ascii="Tahoma" w:eastAsia="Times New Roman" w:hAnsi="Tahoma" w:cs="Tahoma"/>
          <w:lang w:val="es-MX" w:eastAsia="es-ES"/>
        </w:rPr>
      </w:pPr>
      <w:r w:rsidRPr="006F39BE">
        <w:rPr>
          <w:rFonts w:ascii="Tahoma" w:eastAsia="Times New Roman" w:hAnsi="Tahoma" w:cs="Tahoma"/>
          <w:lang w:val="es-ES" w:eastAsia="es-ES"/>
        </w:rPr>
        <w:t>Al efecto, debe tenerse en cuenta que el Tribunal tiene a su cargo el conocimiento de los procesos de aplicación de sanción administrativa de inhabilitación, temporal o definitiva, para participar en procesos de selección y contratar con el Estado, en los casos expresamente previstos en los artículos 51 de la Ley de Contrataciones del Estado</w:t>
      </w:r>
      <w:r w:rsidRPr="006F39BE">
        <w:rPr>
          <w:rFonts w:ascii="Tahoma" w:eastAsia="Times New Roman" w:hAnsi="Tahoma" w:cs="Tahoma"/>
          <w:vertAlign w:val="superscript"/>
          <w:lang w:val="es-ES" w:eastAsia="es-ES"/>
        </w:rPr>
        <w:footnoteReference w:id="2"/>
      </w:r>
      <w:r w:rsidRPr="006F39BE">
        <w:rPr>
          <w:rFonts w:ascii="Tahoma" w:eastAsia="Times New Roman" w:hAnsi="Tahoma" w:cs="Tahoma"/>
          <w:lang w:val="es-ES" w:eastAsia="es-ES"/>
        </w:rPr>
        <w:t>, en adelante la Ley, y 237 del Reglamento de la Ley de Contrataciones del Estado</w:t>
      </w:r>
      <w:r w:rsidRPr="006F39BE">
        <w:rPr>
          <w:rFonts w:ascii="Tahoma" w:eastAsia="Times New Roman" w:hAnsi="Tahoma" w:cs="Tahoma"/>
          <w:vertAlign w:val="superscript"/>
          <w:lang w:val="es-ES" w:eastAsia="es-ES"/>
        </w:rPr>
        <w:footnoteReference w:id="3"/>
      </w:r>
      <w:r w:rsidRPr="006F39BE">
        <w:rPr>
          <w:rFonts w:ascii="Tahoma" w:eastAsia="Times New Roman" w:hAnsi="Tahoma" w:cs="Tahoma"/>
          <w:lang w:val="es-ES" w:eastAsia="es-ES"/>
        </w:rPr>
        <w:t>, en adelante el Reglamento, normativa aplicable al presente caso.</w:t>
      </w:r>
    </w:p>
    <w:p w:rsidR="006F39BE" w:rsidRPr="006F39BE" w:rsidRDefault="006F39BE" w:rsidP="006F39BE">
      <w:pPr>
        <w:spacing w:after="0" w:line="240" w:lineRule="auto"/>
        <w:ind w:left="567"/>
        <w:jc w:val="both"/>
        <w:rPr>
          <w:rFonts w:ascii="Tahoma" w:eastAsia="Times New Roman" w:hAnsi="Tahoma" w:cs="Tahoma"/>
          <w:lang w:val="es-MX" w:eastAsia="es-ES"/>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MX" w:eastAsia="es-ES"/>
        </w:rPr>
      </w:pPr>
      <w:r w:rsidRPr="006F39BE">
        <w:rPr>
          <w:rFonts w:ascii="Tahoma" w:eastAsia="Times New Roman" w:hAnsi="Tahoma" w:cs="Tahoma"/>
          <w:lang w:eastAsia="es-ES"/>
        </w:rPr>
        <w:t xml:space="preserve">En el caso que nos ocupa, </w:t>
      </w:r>
      <w:r w:rsidRPr="006F39BE">
        <w:rPr>
          <w:rFonts w:ascii="Tahoma" w:eastAsia="Times New Roman" w:hAnsi="Tahoma" w:cs="Tahoma"/>
          <w:lang w:val="es-ES" w:eastAsia="es-ES"/>
        </w:rPr>
        <w:t>la infracción tipificada en el literal a) del numeral 51.1 del artículo 51 de la Ley, en concordancia con el literal a) del numeral 1 del artículo 237 del Reglamento, establece como supuesto de hecho de la infracción, que los postores no suscriban injustificadamente el contrato, a pesar de haber sido favorecidos con la Buena Pro.</w:t>
      </w:r>
    </w:p>
    <w:p w:rsidR="006F39BE" w:rsidRPr="006F39BE" w:rsidRDefault="006F39BE" w:rsidP="006F39BE">
      <w:pPr>
        <w:spacing w:after="0" w:line="240" w:lineRule="auto"/>
        <w:ind w:left="567"/>
        <w:jc w:val="both"/>
        <w:rPr>
          <w:rFonts w:ascii="Tahoma" w:eastAsia="Times New Roman" w:hAnsi="Tahoma" w:cs="Tahoma"/>
          <w:lang w:val="es-ES" w:eastAsia="es-ES"/>
        </w:rPr>
      </w:pPr>
    </w:p>
    <w:p w:rsidR="006F39BE" w:rsidRPr="006F39BE" w:rsidRDefault="006F39BE" w:rsidP="006F39BE">
      <w:pPr>
        <w:numPr>
          <w:ilvl w:val="0"/>
          <w:numId w:val="11"/>
        </w:numPr>
        <w:tabs>
          <w:tab w:val="num" w:pos="567"/>
        </w:tabs>
        <w:spacing w:after="0" w:line="240" w:lineRule="auto"/>
        <w:ind w:left="567" w:hanging="425"/>
        <w:jc w:val="both"/>
        <w:rPr>
          <w:rFonts w:ascii="Tahoma" w:eastAsia="Times New Roman" w:hAnsi="Tahoma" w:cs="Tahoma"/>
          <w:lang w:val="es-ES" w:eastAsia="es-ES"/>
        </w:rPr>
      </w:pPr>
      <w:r w:rsidRPr="006F39BE">
        <w:rPr>
          <w:rFonts w:ascii="Tahoma" w:eastAsia="Times New Roman" w:hAnsi="Tahoma" w:cs="Tahoma"/>
          <w:lang w:val="es-ES" w:eastAsia="es-ES"/>
        </w:rPr>
        <w:t xml:space="preserve">En primer lugar, es necesario indicar que la infracción antes referida </w:t>
      </w:r>
      <w:r w:rsidRPr="006F39BE">
        <w:rPr>
          <w:rFonts w:ascii="Tahoma" w:eastAsia="Times New Roman" w:hAnsi="Tahoma" w:cs="Tahoma"/>
          <w:lang w:val="es-ES" w:eastAsia="es-PE"/>
        </w:rPr>
        <w:t>le es atribuible a aquél Postor que, habiendo sido favorecido con el otorgamiento de la buena pro, se niegue u omita suscribir el contrato, sea porque no se presenta para dicho propósito en la fecha correspondiente, o sea que no cumple con presentar los documentos indispensables para tal fin.</w:t>
      </w:r>
    </w:p>
    <w:p w:rsidR="006F39BE" w:rsidRPr="006F39BE" w:rsidRDefault="006F39BE" w:rsidP="006F39BE">
      <w:pPr>
        <w:spacing w:after="0" w:line="240" w:lineRule="auto"/>
        <w:ind w:left="708"/>
        <w:rPr>
          <w:rFonts w:ascii="Tahoma" w:eastAsia="Times New Roman" w:hAnsi="Tahoma" w:cs="Tahoma"/>
          <w:lang w:val="es-ES" w:eastAsia="es-PE"/>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Atendiendo a la infracción que nos ocupa</w:t>
      </w:r>
      <w:r w:rsidRPr="006F39BE">
        <w:rPr>
          <w:rFonts w:ascii="Tahoma" w:eastAsia="Times New Roman" w:hAnsi="Tahoma" w:cs="Tahoma"/>
          <w:vertAlign w:val="superscript"/>
          <w:lang w:val="es-ES" w:eastAsia="es-ES"/>
        </w:rPr>
        <w:footnoteReference w:id="4"/>
      </w:r>
      <w:r w:rsidRPr="006F39BE">
        <w:rPr>
          <w:rFonts w:ascii="Tahoma" w:eastAsia="Times New Roman" w:hAnsi="Tahoma" w:cs="Tahoma"/>
          <w:lang w:val="es-ES" w:eastAsia="es-ES"/>
        </w:rPr>
        <w:t xml:space="preserve">, resulta pertinente indicar que el procedimiento para suscribir el contrato ha sido previsto en el artículo 148 del </w:t>
      </w:r>
      <w:r w:rsidRPr="006F39BE">
        <w:rPr>
          <w:rFonts w:ascii="Tahoma" w:eastAsia="Calibri" w:hAnsi="Tahoma" w:cs="Tahoma"/>
          <w:lang w:val="es-ES"/>
        </w:rPr>
        <w:lastRenderedPageBreak/>
        <w:t>Reglamento</w:t>
      </w:r>
      <w:r w:rsidRPr="006F39BE">
        <w:rPr>
          <w:rFonts w:ascii="Tahoma" w:eastAsia="Calibri" w:hAnsi="Tahoma" w:cs="Tahoma"/>
          <w:vertAlign w:val="superscript"/>
          <w:lang w:val="es-ES"/>
        </w:rPr>
        <w:footnoteReference w:id="5"/>
      </w:r>
      <w:r w:rsidRPr="006F39BE">
        <w:rPr>
          <w:rFonts w:ascii="Tahoma" w:eastAsia="Calibri" w:hAnsi="Tahoma" w:cs="Tahoma"/>
          <w:lang w:val="es-ES"/>
        </w:rPr>
        <w:t xml:space="preserve">, </w:t>
      </w:r>
      <w:r w:rsidRPr="006F39BE">
        <w:rPr>
          <w:rFonts w:ascii="Tahoma" w:eastAsia="Calibri" w:hAnsi="Tahoma" w:cs="Tahoma"/>
          <w:b/>
          <w:lang w:val="es-ES"/>
        </w:rPr>
        <w:t>que  dispone que, dentro de los dos (2) días hábiles siguientes al consentimiento de la buena pro, la Entidad deberá citar al postor ganador, otorgándole un plazo mínimo de cinco (5) días hábiles y máximo de diez (10) días hábiles para suscribir el contrato.</w:t>
      </w:r>
      <w:r w:rsidRPr="006F39BE">
        <w:rPr>
          <w:rFonts w:ascii="Tahoma" w:eastAsia="Calibri" w:hAnsi="Tahoma" w:cs="Tahoma"/>
          <w:lang w:val="es-ES"/>
        </w:rPr>
        <w:t xml:space="preserve"> No obstante, si dicho postor tuviera antes del plazo mínimo establecido la documentación completa requerida, podrá presentarse a suscribir el contrato. En caso que el postor ganador no se presente dentro del plazo otorgado, perderá automáticamente la buena pro, sin perjuicio de la sanción administrativa imputable.</w:t>
      </w:r>
    </w:p>
    <w:p w:rsidR="006F39BE" w:rsidRPr="006F39BE" w:rsidRDefault="006F39BE" w:rsidP="006F39BE">
      <w:pPr>
        <w:tabs>
          <w:tab w:val="num" w:pos="540"/>
          <w:tab w:val="num" w:pos="567"/>
        </w:tabs>
        <w:spacing w:after="0" w:line="240" w:lineRule="auto"/>
        <w:ind w:left="567" w:hanging="567"/>
        <w:jc w:val="both"/>
        <w:rPr>
          <w:rFonts w:ascii="Tahoma" w:eastAsia="Times New Roman" w:hAnsi="Tahoma" w:cs="Tahoma"/>
          <w:lang w:val="es-ES" w:eastAsia="es-PE"/>
        </w:rPr>
      </w:pPr>
    </w:p>
    <w:p w:rsidR="006F39BE" w:rsidRPr="006F39BE" w:rsidRDefault="006F39BE" w:rsidP="006F39BE">
      <w:pPr>
        <w:tabs>
          <w:tab w:val="num" w:pos="540"/>
          <w:tab w:val="num" w:pos="567"/>
        </w:tabs>
        <w:spacing w:after="0" w:line="240" w:lineRule="auto"/>
        <w:ind w:left="567"/>
        <w:contextualSpacing/>
        <w:jc w:val="both"/>
        <w:rPr>
          <w:rFonts w:ascii="Tahoma" w:eastAsia="Times New Roman" w:hAnsi="Tahoma" w:cs="Tahoma"/>
          <w:lang w:val="es-ES" w:eastAsia="es-PE"/>
        </w:rPr>
      </w:pPr>
      <w:r w:rsidRPr="006F39BE">
        <w:rPr>
          <w:rFonts w:ascii="Tahoma" w:eastAsia="Times New Roman" w:hAnsi="Tahoma" w:cs="Tahoma"/>
          <w:lang w:val="es-ES" w:eastAsia="es-PE"/>
        </w:rPr>
        <w:t>El cumplimiento de dicho procedimiento, es condición necesaria para evaluar la existencia de eventuales responsabilidades por la comisión de la infracción tipificada en el literal a) del numeral 51.1 de la Ley.</w:t>
      </w:r>
    </w:p>
    <w:p w:rsidR="006F39BE" w:rsidRPr="006F39BE" w:rsidRDefault="006F39BE" w:rsidP="006F39BE">
      <w:pPr>
        <w:tabs>
          <w:tab w:val="num" w:pos="540"/>
          <w:tab w:val="num" w:pos="567"/>
        </w:tabs>
        <w:spacing w:after="0" w:line="240" w:lineRule="auto"/>
        <w:ind w:left="567" w:hanging="567"/>
        <w:rPr>
          <w:rFonts w:ascii="Tahoma" w:eastAsia="Times New Roman" w:hAnsi="Tahoma" w:cs="Tahoma"/>
          <w:lang w:val="es-ES" w:eastAsia="es-PE"/>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Calibri" w:hAnsi="Tahoma" w:cs="Tahoma"/>
          <w:lang w:val="es-ES"/>
        </w:rPr>
        <w:t>Al respecto, la Entidad para</w:t>
      </w:r>
      <w:r w:rsidRPr="006F39BE">
        <w:rPr>
          <w:rFonts w:ascii="Tahoma" w:eastAsia="Calibri" w:hAnsi="Tahoma" w:cs="Tahoma"/>
          <w:lang w:val="es-ES_tradnl"/>
        </w:rPr>
        <w:t xml:space="preserve"> acreditar el cumplimiento de la norma antes citada, adjudicó mediante acto público el otorgamiento de la buena pro el 24 de Mayo de 2010, declarando consentido dicho otorgamiento el 31 de Mayo del mismo año, por lo que remitió la CARTA.RE (LOG) Nº 0-4-A/721, el cual fue debidamente notificado el 01 de Junio de 2010, a través del cual citaron a la empresa  </w:t>
      </w:r>
      <w:r w:rsidRPr="006F39BE">
        <w:rPr>
          <w:rFonts w:ascii="Tahoma" w:eastAsia="Calibri" w:hAnsi="Tahoma" w:cs="Tahoma"/>
          <w:lang w:val="es-ES" w:eastAsia="es-ES"/>
        </w:rPr>
        <w:t>CENCAR S.A.C.</w:t>
      </w:r>
      <w:r w:rsidRPr="006F39BE">
        <w:rPr>
          <w:rFonts w:ascii="Tahoma" w:eastAsia="Calibri" w:hAnsi="Tahoma" w:cs="Tahoma"/>
          <w:lang w:val="es-ES_tradnl"/>
        </w:rPr>
        <w:t>, para la firma del contrato correspondiente.</w:t>
      </w:r>
    </w:p>
    <w:p w:rsidR="006F39BE" w:rsidRPr="006F39BE" w:rsidRDefault="006F39BE" w:rsidP="006F39BE">
      <w:pPr>
        <w:tabs>
          <w:tab w:val="num" w:pos="567"/>
        </w:tabs>
        <w:spacing w:after="0" w:line="240" w:lineRule="auto"/>
        <w:ind w:left="567" w:hanging="567"/>
        <w:jc w:val="both"/>
        <w:rPr>
          <w:rFonts w:ascii="Tahoma" w:eastAsia="Times New Roman" w:hAnsi="Tahoma" w:cs="Tahoma"/>
          <w:lang w:val="es-ES" w:eastAsia="es-PE"/>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Calibri" w:hAnsi="Tahoma" w:cs="Tahoma"/>
          <w:lang w:val="es-ES_tradnl"/>
        </w:rPr>
        <w:t xml:space="preserve">En razón a lo expuesto, habiéndose verificado que la Entidad cumplió las formalidades y procedimientos para la suscripción del contrato, citando válidamente al postor, </w:t>
      </w:r>
      <w:r w:rsidRPr="006F39BE">
        <w:rPr>
          <w:rFonts w:ascii="Tahoma" w:eastAsia="Calibri" w:hAnsi="Tahoma" w:cs="Tahoma"/>
        </w:rPr>
        <w:t xml:space="preserve">éste no puede sustraerse de su obligación de suscribir el contrato, en tanto haya sido favorecido con el otorgamiento de la buena pro, salvo que exista justificación alguna, la cual debe ser acreditada fehacientemente. Por lo tanto, </w:t>
      </w:r>
      <w:r w:rsidRPr="006F39BE">
        <w:rPr>
          <w:rFonts w:ascii="Tahoma" w:eastAsia="Calibri" w:hAnsi="Tahoma" w:cs="Tahoma"/>
          <w:lang w:val="es-ES_tradnl"/>
        </w:rPr>
        <w:t xml:space="preserve">corresponde a este Colegiado determinar si dicha omisión resultó justificada o no, en tanto que solamente la no suscripción que obedece a causas injustificadas atribuibles al Postor es sancionable administrativamente.  </w:t>
      </w:r>
    </w:p>
    <w:p w:rsidR="006F39BE" w:rsidRPr="006F39BE" w:rsidRDefault="006F39BE" w:rsidP="006F39BE">
      <w:pPr>
        <w:spacing w:after="0" w:line="240" w:lineRule="auto"/>
        <w:ind w:left="720"/>
        <w:contextualSpacing/>
        <w:rPr>
          <w:rFonts w:ascii="Tahoma" w:eastAsia="Calibri" w:hAnsi="Tahoma" w:cs="Tahoma"/>
          <w:lang w:val="es-ES_tradnl"/>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Calibri" w:hAnsi="Tahoma" w:cs="Tahoma"/>
          <w:lang w:val="es-ES_tradnl"/>
        </w:rPr>
        <w:t xml:space="preserve">En ejercicio de su derecho de defensa, la empresa  </w:t>
      </w:r>
      <w:r w:rsidRPr="006F39BE">
        <w:rPr>
          <w:rFonts w:ascii="Tahoma" w:eastAsia="Calibri" w:hAnsi="Tahoma" w:cs="Tahoma"/>
          <w:lang w:val="es-ES" w:eastAsia="es-ES"/>
        </w:rPr>
        <w:t xml:space="preserve">CENCAR S.A.C., </w:t>
      </w:r>
      <w:r w:rsidRPr="006F39BE">
        <w:rPr>
          <w:rFonts w:ascii="Tahoma" w:eastAsia="Calibri" w:hAnsi="Tahoma" w:cs="Tahoma"/>
          <w:lang w:val="es-ES_tradnl"/>
        </w:rPr>
        <w:t xml:space="preserve">ha sostenido que tramitó diligentemente su solicitud para la expedición de la carta fianza; no obstante, la omisión de suscribir el contrato se debió a un hecho extraordinario atribuible a la </w:t>
      </w:r>
      <w:r w:rsidRPr="006F39BE">
        <w:rPr>
          <w:rFonts w:ascii="Tahoma" w:eastAsia="Calibri" w:hAnsi="Tahoma" w:cs="Tahoma"/>
          <w:lang w:val="es-ES" w:eastAsia="es-ES"/>
        </w:rPr>
        <w:t xml:space="preserve"> empresa EDPYMES PROEMPRESA S.A., puesto que recién el 15 de Junio del 2010, le hicieron entrega de las respectivas Cartas Fianzas.</w:t>
      </w:r>
    </w:p>
    <w:p w:rsidR="006F39BE" w:rsidRPr="006F39BE" w:rsidRDefault="006F39BE" w:rsidP="006F39BE">
      <w:pPr>
        <w:spacing w:after="0" w:line="240" w:lineRule="auto"/>
        <w:ind w:left="720"/>
        <w:contextualSpacing/>
        <w:rPr>
          <w:rFonts w:ascii="Tahoma" w:eastAsia="Calibri" w:hAnsi="Tahoma" w:cs="Tahoma"/>
          <w:lang w:val="es-ES_tradnl"/>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 xml:space="preserve">Al respecto de las diversas solicitudes de información adicional, la empresa </w:t>
      </w:r>
      <w:r w:rsidRPr="006F39BE">
        <w:rPr>
          <w:rFonts w:ascii="Tahoma" w:eastAsia="Calibri" w:hAnsi="Tahoma" w:cs="Tahoma"/>
          <w:lang w:val="es-ES" w:eastAsia="es-ES"/>
        </w:rPr>
        <w:t xml:space="preserve">EDPYMES PROEMPRESA S.A., ha manifestado que en efecto la empresa CENCAR </w:t>
      </w:r>
      <w:r w:rsidRPr="006F39BE">
        <w:rPr>
          <w:rFonts w:ascii="Tahoma" w:eastAsia="Calibri" w:hAnsi="Tahoma" w:cs="Tahoma"/>
          <w:lang w:val="es-ES" w:eastAsia="es-ES"/>
        </w:rPr>
        <w:lastRenderedPageBreak/>
        <w:t>S.A.C., solicitó mediante  cartas Nros NBO_OM152-2010 y NBO_OM154-2010 de fecha 25 de mayo de 2010, Cartas Fianza de Fiel Cumplimiento y por valor referencial, para lo cual se siguió el trámite regular, y luego del proceso de evaluación y determinación de las garantías se procedió a su emisión el día 07 de Junio de 2010, posteriormente, considerando que el proceso de constitución de la garantía a su favor fue culminado el día 14 de Junio del 2010, se procedió al día siguiente, 15 de Junio de 2010 a entregar dichas cartas fianzas al cliente</w:t>
      </w:r>
      <w:r w:rsidRPr="006F39BE">
        <w:rPr>
          <w:rFonts w:ascii="Tahoma" w:eastAsia="Calibri" w:hAnsi="Tahoma" w:cs="Tahoma"/>
          <w:i/>
          <w:lang w:val="es-ES" w:eastAsia="es-ES"/>
        </w:rPr>
        <w:t>.</w:t>
      </w:r>
    </w:p>
    <w:p w:rsidR="006F39BE" w:rsidRPr="006F39BE" w:rsidRDefault="006F39BE" w:rsidP="006F39BE">
      <w:pPr>
        <w:spacing w:after="0" w:line="240" w:lineRule="auto"/>
        <w:ind w:left="720"/>
        <w:contextualSpacing/>
        <w:rPr>
          <w:rFonts w:ascii="Tahoma" w:eastAsia="Calibri" w:hAnsi="Tahoma" w:cs="Tahoma"/>
          <w:lang w:val="es-ES" w:eastAsia="es-ES"/>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Calibri" w:hAnsi="Tahoma" w:cs="Tahoma"/>
          <w:lang w:val="es-ES" w:eastAsia="es-ES"/>
        </w:rPr>
        <w:t xml:space="preserve">Para un mejor entender, se procedió a solicitar nueva información adicional a la </w:t>
      </w:r>
      <w:r w:rsidRPr="006F39BE">
        <w:rPr>
          <w:rFonts w:ascii="Tahoma" w:eastAsia="Times New Roman" w:hAnsi="Tahoma" w:cs="Tahoma"/>
          <w:lang w:val="es-ES" w:eastAsia="es-ES"/>
        </w:rPr>
        <w:t xml:space="preserve">empresa </w:t>
      </w:r>
      <w:r w:rsidRPr="006F39BE">
        <w:rPr>
          <w:rFonts w:ascii="Tahoma" w:eastAsia="Calibri" w:hAnsi="Tahoma" w:cs="Tahoma"/>
          <w:lang w:val="es-ES" w:eastAsia="es-ES"/>
        </w:rPr>
        <w:t>EDPYMES PROEMPRESA S.A., a lo cual manifestó lo siguiente:</w:t>
      </w:r>
    </w:p>
    <w:p w:rsidR="006F39BE" w:rsidRPr="006F39BE" w:rsidRDefault="006F39BE" w:rsidP="006F39BE">
      <w:pPr>
        <w:spacing w:after="0" w:line="240" w:lineRule="auto"/>
        <w:ind w:left="720"/>
        <w:contextualSpacing/>
        <w:rPr>
          <w:rFonts w:ascii="Tahoma" w:eastAsia="Times New Roman" w:hAnsi="Tahoma" w:cs="Tahoma"/>
          <w:lang w:val="es-ES" w:eastAsia="es-ES"/>
        </w:rPr>
      </w:pPr>
    </w:p>
    <w:p w:rsidR="006F39BE" w:rsidRPr="006F39BE" w:rsidRDefault="006F39BE" w:rsidP="006F39BE">
      <w:pPr>
        <w:tabs>
          <w:tab w:val="num" w:pos="3040"/>
        </w:tabs>
        <w:spacing w:after="0" w:line="240" w:lineRule="auto"/>
        <w:ind w:left="540" w:right="-1"/>
        <w:jc w:val="both"/>
        <w:rPr>
          <w:rFonts w:ascii="Tahoma" w:eastAsia="Calibri" w:hAnsi="Tahoma" w:cs="Tahoma"/>
          <w:i/>
          <w:lang w:val="es-ES" w:eastAsia="es-ES"/>
        </w:rPr>
      </w:pPr>
      <w:r w:rsidRPr="006F39BE">
        <w:rPr>
          <w:rFonts w:ascii="Tahoma" w:eastAsia="Calibri" w:hAnsi="Tahoma" w:cs="Tahoma"/>
          <w:i/>
          <w:lang w:val="es-ES" w:eastAsia="es-ES"/>
        </w:rPr>
        <w:t xml:space="preserve">“(…) En ese sentido el proceso de constitución de una garantía para  el otorgamiento de una carta fianza es el mismo que para el otorgamiento de un crédito y consiste de que luego de la aprobación de la carta fianza, se determina el tipo de garantía que se entregará a Proempresa y a través del área de operaciones se hacen las coordinaciones con el cliente para proceder a su formalización (sea por entrega física o sea por entrega jurídica). </w:t>
      </w:r>
      <w:r w:rsidRPr="006F39BE">
        <w:rPr>
          <w:rFonts w:ascii="Tahoma" w:eastAsia="Calibri" w:hAnsi="Tahoma" w:cs="Tahoma"/>
          <w:b/>
          <w:i/>
          <w:u w:val="single"/>
          <w:lang w:val="es-ES" w:eastAsia="es-ES"/>
        </w:rPr>
        <w:t>Una vez que la garantía haya sido entregada se procede a la entrega física de la carta fianza</w:t>
      </w:r>
      <w:r w:rsidRPr="006F39BE">
        <w:rPr>
          <w:rFonts w:ascii="Tahoma" w:eastAsia="Calibri" w:hAnsi="Tahoma" w:cs="Tahoma"/>
          <w:i/>
          <w:lang w:val="es-ES" w:eastAsia="es-ES"/>
        </w:rPr>
        <w:t>.</w:t>
      </w:r>
    </w:p>
    <w:p w:rsidR="006F39BE" w:rsidRPr="006F39BE" w:rsidRDefault="006F39BE" w:rsidP="006F39BE">
      <w:pPr>
        <w:tabs>
          <w:tab w:val="num" w:pos="3040"/>
        </w:tabs>
        <w:spacing w:after="0" w:line="240" w:lineRule="auto"/>
        <w:ind w:left="540" w:right="-1"/>
        <w:jc w:val="both"/>
        <w:rPr>
          <w:rFonts w:ascii="Tahoma" w:eastAsia="Calibri" w:hAnsi="Tahoma" w:cs="Tahoma"/>
          <w:i/>
          <w:lang w:val="es-ES" w:eastAsia="es-ES"/>
        </w:rPr>
      </w:pPr>
      <w:r w:rsidRPr="006F39BE">
        <w:rPr>
          <w:rFonts w:ascii="Tahoma" w:eastAsia="Calibri" w:hAnsi="Tahoma" w:cs="Tahoma"/>
          <w:i/>
          <w:lang w:val="es-ES" w:eastAsia="es-ES"/>
        </w:rPr>
        <w:t>(…)</w:t>
      </w:r>
      <w:r w:rsidRPr="006F39BE">
        <w:rPr>
          <w:rFonts w:ascii="Tahoma" w:eastAsia="Calibri" w:hAnsi="Tahoma" w:cs="Tahoma"/>
          <w:i/>
          <w:lang w:val="es-ES" w:eastAsia="es-ES"/>
        </w:rPr>
        <w:br/>
      </w:r>
      <w:r w:rsidRPr="006F39BE">
        <w:rPr>
          <w:rFonts w:ascii="Tahoma" w:eastAsia="Calibri" w:hAnsi="Tahoma" w:cs="Tahoma"/>
          <w:b/>
          <w:i/>
          <w:u w:val="single"/>
          <w:lang w:val="es-ES" w:eastAsia="es-ES"/>
        </w:rPr>
        <w:t>De acuerdo con la constancia del depósito efectuado por el cliente CENCAR S.A.C., informamos que nuestro cliente procedió a realizar el depósito el día 14 de Junio del 2010</w:t>
      </w:r>
      <w:r w:rsidRPr="006F39BE">
        <w:rPr>
          <w:rFonts w:ascii="Tahoma" w:eastAsia="Calibri" w:hAnsi="Tahoma" w:cs="Tahoma"/>
          <w:i/>
          <w:lang w:val="es-ES" w:eastAsia="es-ES"/>
        </w:rPr>
        <w:t xml:space="preserve"> fecha desde la que se consideró la entrega física de la garantía.(…)” </w:t>
      </w:r>
      <w:r w:rsidRPr="006F39BE">
        <w:rPr>
          <w:rFonts w:ascii="Tahoma" w:eastAsia="Calibri" w:hAnsi="Tahoma" w:cs="Tahoma"/>
          <w:lang w:val="es-ES" w:eastAsia="es-ES"/>
        </w:rPr>
        <w:t>(el resaltado es nuestro).</w:t>
      </w:r>
    </w:p>
    <w:p w:rsidR="006F39BE" w:rsidRPr="006F39BE" w:rsidRDefault="006F39BE" w:rsidP="006F39BE">
      <w:pPr>
        <w:spacing w:after="0" w:line="240" w:lineRule="auto"/>
        <w:ind w:left="567"/>
        <w:jc w:val="both"/>
        <w:rPr>
          <w:rFonts w:ascii="Tahoma" w:eastAsia="Times New Roman" w:hAnsi="Tahoma" w:cs="Tahoma"/>
          <w:lang w:val="es-ES" w:eastAsia="es-ES"/>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 xml:space="preserve">En este orden de ideas, el Postor no puede alegar como causa de justificación para no cumplir con su obligación de suscribir el contrato, </w:t>
      </w:r>
      <w:r w:rsidRPr="006F39BE">
        <w:rPr>
          <w:rFonts w:ascii="Tahoma" w:eastAsia="Calibri" w:hAnsi="Tahoma" w:cs="Tahoma"/>
          <w:lang w:val="es-ES_tradnl"/>
        </w:rPr>
        <w:t xml:space="preserve">un hecho extraordinario atribuible a la </w:t>
      </w:r>
      <w:r w:rsidRPr="006F39BE">
        <w:rPr>
          <w:rFonts w:ascii="Tahoma" w:eastAsia="Calibri" w:hAnsi="Tahoma" w:cs="Tahoma"/>
          <w:lang w:val="es-ES" w:eastAsia="es-ES"/>
        </w:rPr>
        <w:t xml:space="preserve"> empresa EDPYMES PROEMPRESA S.A., puesto que conforme lo ha informado dicha empresa, el proceso de evaluación y determinación de las garantías concluyó el día 07 de Junio de 2010, y la constitución de garantía a su favor culminó el 14 de junio del mismo año, y este hecho fue en función a que la empresa CENCAR S.A.C., recién efectuó el depósito el 14 de junio del 2010</w:t>
      </w:r>
      <w:r w:rsidRPr="006F39BE">
        <w:rPr>
          <w:rFonts w:ascii="Tahoma" w:eastAsia="Times New Roman" w:hAnsi="Tahoma" w:cs="Tahoma"/>
          <w:lang w:val="es-ES" w:eastAsia="es-ES"/>
        </w:rPr>
        <w:t xml:space="preserve">. </w:t>
      </w:r>
    </w:p>
    <w:p w:rsidR="006F39BE" w:rsidRPr="006F39BE" w:rsidRDefault="006F39BE" w:rsidP="006F39BE">
      <w:pPr>
        <w:tabs>
          <w:tab w:val="num" w:pos="567"/>
        </w:tabs>
        <w:spacing w:after="0" w:line="240" w:lineRule="auto"/>
        <w:ind w:left="708" w:hanging="567"/>
        <w:rPr>
          <w:rFonts w:ascii="Tahoma" w:eastAsia="Times New Roman" w:hAnsi="Tahoma" w:cs="Tahoma"/>
          <w:lang w:val="es-ES" w:eastAsia="es-PE"/>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 xml:space="preserve">Es así, que para que el Postor ganador de la buena pro, sea dispensado de firmar el contrato, tiene que configurarse un hecho considerado como de fuerza mayor o caso fortuito, cuyos requisitos deben ser recurrentes. En ese sentido, dicho acontecimiento debe ser </w:t>
      </w:r>
      <w:r w:rsidRPr="006F39BE">
        <w:rPr>
          <w:rFonts w:ascii="Tahoma" w:eastAsia="Times New Roman" w:hAnsi="Tahoma" w:cs="Tahoma"/>
          <w:i/>
          <w:u w:val="single"/>
          <w:lang w:val="es-ES" w:eastAsia="es-ES"/>
        </w:rPr>
        <w:t>extraordinario</w:t>
      </w:r>
      <w:r w:rsidRPr="006F39BE">
        <w:rPr>
          <w:rFonts w:ascii="Tahoma" w:eastAsia="Times New Roman" w:hAnsi="Tahoma" w:cs="Tahoma"/>
          <w:lang w:val="es-ES" w:eastAsia="es-ES"/>
        </w:rPr>
        <w:t xml:space="preserve">; es decir, que las circunstancias en las cuales se presente, deben ser excepcionales e irrumpir en el curso de la normalidad. Asimismo, el hecho debe ser </w:t>
      </w:r>
      <w:r w:rsidRPr="006F39BE">
        <w:rPr>
          <w:rFonts w:ascii="Tahoma" w:eastAsia="Times New Roman" w:hAnsi="Tahoma" w:cs="Tahoma"/>
          <w:i/>
          <w:u w:val="single"/>
          <w:lang w:val="es-ES" w:eastAsia="es-ES"/>
        </w:rPr>
        <w:t>imprevisible</w:t>
      </w:r>
      <w:r w:rsidRPr="006F39BE">
        <w:rPr>
          <w:rFonts w:ascii="Tahoma" w:eastAsia="Times New Roman" w:hAnsi="Tahoma" w:cs="Tahoma"/>
          <w:lang w:val="es-ES" w:eastAsia="es-ES"/>
        </w:rPr>
        <w:t xml:space="preserve">; es decir, que en circunstancias ordinarias no habría podido predecirse su ocurrencia. Y finalmente el acontecimiento debe ser </w:t>
      </w:r>
      <w:r w:rsidRPr="006F39BE">
        <w:rPr>
          <w:rFonts w:ascii="Tahoma" w:eastAsia="Times New Roman" w:hAnsi="Tahoma" w:cs="Tahoma"/>
          <w:i/>
          <w:u w:val="single"/>
          <w:lang w:val="es-ES" w:eastAsia="es-ES"/>
        </w:rPr>
        <w:t>irresistible</w:t>
      </w:r>
      <w:r w:rsidRPr="006F39BE">
        <w:rPr>
          <w:rFonts w:ascii="Tahoma" w:eastAsia="Times New Roman" w:hAnsi="Tahoma" w:cs="Tahoma"/>
          <w:lang w:val="es-ES" w:eastAsia="es-ES"/>
        </w:rPr>
        <w:t>; es decir, que su ocurrencia no haya podido ser evitada o frenada.</w:t>
      </w:r>
    </w:p>
    <w:p w:rsidR="006F39BE" w:rsidRPr="006F39BE" w:rsidRDefault="006F39BE" w:rsidP="006F39BE">
      <w:pPr>
        <w:tabs>
          <w:tab w:val="num" w:pos="567"/>
        </w:tabs>
        <w:spacing w:after="0" w:line="240" w:lineRule="auto"/>
        <w:jc w:val="both"/>
        <w:rPr>
          <w:rFonts w:ascii="Tahoma" w:eastAsia="Times New Roman" w:hAnsi="Tahoma" w:cs="Tahoma"/>
          <w:lang w:val="es-ES" w:eastAsia="es-ES"/>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lastRenderedPageBreak/>
        <w:t>Todos los elementos de este concepto, se encuentran recogidos en la definición que nos ofrece el artículo 1315 del Código Civil que establece que el caso fortuito o fuerza mayor, es la causa no imputable, consistente en un evento extraordinario, imprevisible e irresistible, que impida la ejecución de la obligación o determine su ejecución parcial, tardío o defectuoso.</w:t>
      </w:r>
    </w:p>
    <w:p w:rsidR="006F39BE" w:rsidRPr="006F39BE" w:rsidRDefault="006F39BE" w:rsidP="006F39BE">
      <w:pPr>
        <w:tabs>
          <w:tab w:val="num" w:pos="567"/>
        </w:tabs>
        <w:spacing w:after="0" w:line="240" w:lineRule="auto"/>
        <w:ind w:left="567" w:hanging="567"/>
        <w:jc w:val="both"/>
        <w:rPr>
          <w:rFonts w:ascii="Tahoma" w:eastAsia="Times New Roman" w:hAnsi="Tahoma" w:cs="Tahoma"/>
          <w:lang w:val="es-ES" w:eastAsia="es-ES"/>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 xml:space="preserve">Como resulta obvio, de lo manifestado por la </w:t>
      </w:r>
      <w:r w:rsidRPr="006F39BE">
        <w:rPr>
          <w:rFonts w:ascii="Tahoma" w:eastAsia="Calibri" w:hAnsi="Tahoma" w:cs="Tahoma"/>
          <w:lang w:val="es-ES" w:eastAsia="es-ES"/>
        </w:rPr>
        <w:t>empresa EDPYMES PROEMPRESA S.A., la entrega física de las cartas fianzas está supeditada a la entrega de la garantía, y esa garantía fue entregada por la empresa CENCAR S.A.C., el 14 de Junio del 2010, es decir dentro de la esfera de responsabilidad del Postor, lo cual</w:t>
      </w:r>
      <w:r w:rsidRPr="006F39BE">
        <w:rPr>
          <w:rFonts w:ascii="Tahoma" w:eastAsia="Times New Roman" w:hAnsi="Tahoma" w:cs="Tahoma"/>
          <w:lang w:val="es-ES" w:eastAsia="es-ES"/>
        </w:rPr>
        <w:t xml:space="preserve"> no se condice con el concepto de fuerza mayor, ni con ninguna causa eximente de responsabilidad de la suscripción del contrato.</w:t>
      </w:r>
    </w:p>
    <w:p w:rsidR="006F39BE" w:rsidRPr="006F39BE" w:rsidRDefault="006F39BE" w:rsidP="006F39BE">
      <w:pPr>
        <w:tabs>
          <w:tab w:val="num" w:pos="567"/>
        </w:tabs>
        <w:spacing w:after="0" w:line="240" w:lineRule="auto"/>
        <w:ind w:left="567" w:hanging="567"/>
        <w:rPr>
          <w:rFonts w:ascii="Tahoma" w:eastAsia="Times New Roman" w:hAnsi="Tahoma" w:cs="Tahoma"/>
          <w:lang w:val="es-ES" w:eastAsia="es-PE"/>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Debe entenderse que todo proceso de selección cuenta con una planificación que va desde los actos previos, que implican la determinación de la necesidad de contar con un servicio, bien u obra, sus características técnicas, valor referencial, su inclusión en el plan anual, asignación presupuestal, el nombramiento del Comité Especial, preparación y publicación de las Bases, la convocatoria y el desarrollo del proceso mismo, que culmina con la elección del ganador de la buena pro.</w:t>
      </w:r>
    </w:p>
    <w:p w:rsidR="006F39BE" w:rsidRPr="006F39BE" w:rsidRDefault="006F39BE" w:rsidP="006F39BE">
      <w:pPr>
        <w:tabs>
          <w:tab w:val="num" w:pos="567"/>
        </w:tabs>
        <w:spacing w:after="0" w:line="240" w:lineRule="auto"/>
        <w:ind w:left="567" w:hanging="567"/>
        <w:jc w:val="both"/>
        <w:rPr>
          <w:rFonts w:ascii="Tahoma" w:eastAsia="Times New Roman" w:hAnsi="Tahoma" w:cs="Tahoma"/>
          <w:lang w:val="es-ES" w:eastAsia="es-ES"/>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Bajo esta perspectiva, una vez que el proceso de selección ha cumplido su cometido de escoger la contraparte contractual del Estado, no resulta lógico ni eficiente permitir que el ganador de la buena pro, desista de suscribir el contrato por motivos insustanciales, pues todos los recursos de personal, tiempo y dinero invertidos, habrían sido en vano, tomando en consideración que la causa de justificación esgrimida por el Postor, no lo exime de su obligación de suscribir contrato.</w:t>
      </w:r>
    </w:p>
    <w:p w:rsidR="006F39BE" w:rsidRPr="006F39BE" w:rsidRDefault="006F39BE" w:rsidP="006F39BE">
      <w:pPr>
        <w:tabs>
          <w:tab w:val="num" w:pos="567"/>
        </w:tabs>
        <w:spacing w:after="0" w:line="240" w:lineRule="auto"/>
        <w:ind w:left="567" w:hanging="567"/>
        <w:rPr>
          <w:rFonts w:ascii="Tahoma" w:eastAsia="Times New Roman" w:hAnsi="Tahoma" w:cs="Tahoma"/>
          <w:lang w:val="es-ES" w:eastAsia="es-PE"/>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Por las consideraciones expuestas, y no habiéndose probado la existencia de causa justificante para la no suscripción de contrato a cargo del Postor, este Colegiado determina que en el presente caso se ha configurado la causal tipificada en el literal a) del numeral 51.1 del artículo 51 de la Ley, en concordancia con el literal a) del numeral 1 del artículo 237 del Reglamento, la cual se encuentra sancionada con inhabilitación temporal para contratar con el Estado por un periodo no menor de uno (1) ni mayor de tres (3) años.</w:t>
      </w:r>
    </w:p>
    <w:p w:rsidR="006F39BE" w:rsidRPr="006F39BE" w:rsidRDefault="006F39BE" w:rsidP="006F39BE">
      <w:pPr>
        <w:tabs>
          <w:tab w:val="num" w:pos="567"/>
        </w:tabs>
        <w:spacing w:after="0" w:line="240" w:lineRule="auto"/>
        <w:ind w:left="567" w:hanging="567"/>
        <w:rPr>
          <w:rFonts w:ascii="Tahoma" w:eastAsia="Times New Roman" w:hAnsi="Tahoma" w:cs="Tahoma"/>
          <w:lang w:val="es-ES" w:eastAsia="es-PE"/>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En cuanto a la graduación de la sanción imponible, este Colegiado tiene en cuenta que el artículo 245 del Reglamento, establece los criterios de graduación de la sanción, los mismos que deben ser tomados en cuenta al momento de fijar la sanción a imponerse al Postor.</w:t>
      </w:r>
    </w:p>
    <w:p w:rsidR="006F39BE" w:rsidRPr="006F39BE" w:rsidRDefault="006F39BE" w:rsidP="006F39BE">
      <w:pPr>
        <w:spacing w:after="0" w:line="240" w:lineRule="auto"/>
        <w:ind w:left="708"/>
        <w:rPr>
          <w:rFonts w:ascii="Tahoma" w:eastAsia="Times New Roman" w:hAnsi="Tahoma" w:cs="Tahoma"/>
          <w:lang w:val="es-ES" w:eastAsia="es-PE"/>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 xml:space="preserve">De esta manera, encontramos a favor del Postor, que no cuenta con antecedentes en la comisión de infracción prevista en el Reglamento, hecho que </w:t>
      </w:r>
      <w:r w:rsidRPr="006F39BE">
        <w:rPr>
          <w:rFonts w:ascii="Tahoma" w:eastAsia="Times New Roman" w:hAnsi="Tahoma" w:cs="Tahoma"/>
          <w:lang w:val="es-ES" w:eastAsia="es-ES"/>
        </w:rPr>
        <w:lastRenderedPageBreak/>
        <w:t>reviste particular importancia a tomar en cuenta respecto a la sanción a imponerse.</w:t>
      </w:r>
    </w:p>
    <w:p w:rsidR="006F39BE" w:rsidRPr="006F39BE" w:rsidRDefault="006F39BE" w:rsidP="006F39BE">
      <w:pPr>
        <w:tabs>
          <w:tab w:val="num" w:pos="567"/>
        </w:tabs>
        <w:spacing w:after="0" w:line="240" w:lineRule="auto"/>
        <w:ind w:left="567" w:hanging="567"/>
        <w:rPr>
          <w:rFonts w:ascii="Tahoma" w:eastAsia="Times New Roman" w:hAnsi="Tahoma" w:cs="Tahoma"/>
          <w:lang w:val="es-ES" w:eastAsia="es-PE"/>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En lo que respecta al daño causado a la Entidad, este Tribunal ha tenido en consideración que la no suscripción del Contrato respectivo retrasó el cumplimiento de los objetivos de La Entidad, los mismos que son programados con anticipación, así como también ha tenido presente el valor referencial del proceso de selección, que asciende a S/. 99</w:t>
      </w:r>
      <w:r w:rsidRPr="006F39BE">
        <w:rPr>
          <w:rFonts w:ascii="Tahoma" w:eastAsia="Calibri" w:hAnsi="Tahoma" w:cs="Tahoma"/>
          <w:lang w:val="es-ES_tradnl" w:eastAsia="es-ES"/>
        </w:rPr>
        <w:t>,990.00 (Noventa y Nueve Mil Novecientos Noventa  con 00/100 Nuevos Soles)</w:t>
      </w:r>
      <w:r w:rsidRPr="006F39BE">
        <w:rPr>
          <w:rFonts w:ascii="Tahoma" w:eastAsia="Times New Roman" w:hAnsi="Tahoma" w:cs="Tahoma"/>
          <w:lang w:eastAsia="es-ES"/>
        </w:rPr>
        <w:t>.</w:t>
      </w:r>
    </w:p>
    <w:p w:rsidR="006F39BE" w:rsidRPr="006F39BE" w:rsidRDefault="006F39BE" w:rsidP="006F39BE">
      <w:pPr>
        <w:tabs>
          <w:tab w:val="num" w:pos="567"/>
        </w:tabs>
        <w:spacing w:after="0" w:line="240" w:lineRule="auto"/>
        <w:ind w:left="567" w:hanging="567"/>
        <w:rPr>
          <w:rFonts w:ascii="Tahoma" w:eastAsia="Times New Roman" w:hAnsi="Tahoma" w:cs="Tahoma"/>
          <w:lang w:val="es-ES" w:eastAsia="es-PE"/>
        </w:rPr>
      </w:pPr>
    </w:p>
    <w:p w:rsidR="006F39BE" w:rsidRP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Así también, debe evaluarse la conducta adoptada por el Postor, quien durante el presente procedimiento administrativo sancionador ha cumplido con presentar sus descargos, sin embargo ha negado la responsabilidad en los hechos imputados.</w:t>
      </w:r>
    </w:p>
    <w:p w:rsidR="006F39BE" w:rsidRPr="006F39BE" w:rsidRDefault="006F39BE" w:rsidP="006F39BE">
      <w:pPr>
        <w:tabs>
          <w:tab w:val="num" w:pos="567"/>
        </w:tabs>
        <w:spacing w:after="0" w:line="240" w:lineRule="auto"/>
        <w:ind w:left="567" w:hanging="567"/>
        <w:rPr>
          <w:rFonts w:ascii="Tahoma" w:eastAsia="Times New Roman" w:hAnsi="Tahoma" w:cs="Tahoma"/>
          <w:lang w:val="es-ES" w:eastAsia="es-PE"/>
        </w:rPr>
      </w:pPr>
    </w:p>
    <w:p w:rsidR="006F39BE" w:rsidRDefault="006F39BE" w:rsidP="006F39BE">
      <w:pPr>
        <w:numPr>
          <w:ilvl w:val="0"/>
          <w:numId w:val="11"/>
        </w:numPr>
        <w:tabs>
          <w:tab w:val="num" w:pos="567"/>
        </w:tabs>
        <w:spacing w:after="0" w:line="240" w:lineRule="auto"/>
        <w:ind w:left="567" w:hanging="567"/>
        <w:jc w:val="both"/>
        <w:rPr>
          <w:rFonts w:ascii="Tahoma" w:eastAsia="Times New Roman" w:hAnsi="Tahoma" w:cs="Tahoma"/>
          <w:lang w:val="es-ES" w:eastAsia="es-ES"/>
        </w:rPr>
      </w:pPr>
      <w:r w:rsidRPr="006F39BE">
        <w:rPr>
          <w:rFonts w:ascii="Tahoma" w:eastAsia="Times New Roman" w:hAnsi="Tahoma" w:cs="Tahoma"/>
          <w:lang w:val="es-ES" w:eastAsia="es-ES"/>
        </w:rPr>
        <w:t xml:space="preserve">En atención a lo expuesto, y en aplicación de lo prescrito por el </w:t>
      </w:r>
      <w:r w:rsidRPr="006F39BE">
        <w:rPr>
          <w:rFonts w:ascii="Tahoma" w:eastAsia="Times New Roman" w:hAnsi="Tahoma" w:cs="Tahoma"/>
          <w:i/>
          <w:lang w:val="es-ES" w:eastAsia="es-ES"/>
        </w:rPr>
        <w:t>Principio de Razonabilidad</w:t>
      </w:r>
      <w:r w:rsidRPr="006F39BE">
        <w:rPr>
          <w:rFonts w:ascii="Tahoma" w:eastAsia="Times New Roman" w:hAnsi="Tahoma" w:cs="Tahoma"/>
          <w:vertAlign w:val="superscript"/>
          <w:lang w:val="es-ES" w:eastAsia="es-ES"/>
        </w:rPr>
        <w:footnoteReference w:id="6"/>
      </w:r>
      <w:r w:rsidRPr="006F39BE">
        <w:rPr>
          <w:rFonts w:ascii="Tahoma" w:eastAsia="Times New Roman" w:hAnsi="Tahoma" w:cs="Tahoma"/>
          <w:lang w:val="es-ES" w:eastAsia="es-ES"/>
        </w:rPr>
        <w:t xml:space="preserve"> previsto en el numeral 3 del artículo 230 de la Ley Nº 27444 aconseja que las sanciones no deben ser desproporcionadas y deben guardar relación con la conducta a reprimir, atendiendo a la necesidad que los postores no deban verse privados de su derecho de proveer al Estado más allá de lo estrictamente necesario para satisfacer los fines de la sanción; este Colegiado considera que debe imponerse a la empresa </w:t>
      </w:r>
      <w:r w:rsidRPr="006F39BE">
        <w:rPr>
          <w:rFonts w:ascii="Tahoma" w:eastAsia="Calibri" w:hAnsi="Tahoma" w:cs="Tahoma"/>
          <w:lang w:val="es-ES" w:eastAsia="es-ES"/>
        </w:rPr>
        <w:t xml:space="preserve">CENCAR S.A.C., </w:t>
      </w:r>
      <w:r w:rsidRPr="006F39BE">
        <w:rPr>
          <w:rFonts w:ascii="Tahoma" w:eastAsia="Times New Roman" w:hAnsi="Tahoma" w:cs="Tahoma"/>
          <w:lang w:eastAsia="es-ES"/>
        </w:rPr>
        <w:t xml:space="preserve">la sanción </w:t>
      </w:r>
      <w:r w:rsidRPr="006F39BE">
        <w:rPr>
          <w:rFonts w:ascii="Tahoma" w:eastAsia="Times New Roman" w:hAnsi="Tahoma" w:cs="Tahoma"/>
          <w:lang w:val="es-ES" w:eastAsia="es-ES"/>
        </w:rPr>
        <w:t>de inhabilitación temporalen su derecho de participar en procesos de selección y contratar con el Estado por el período de doce (12) meses.</w:t>
      </w:r>
    </w:p>
    <w:p w:rsidR="006F39BE" w:rsidRDefault="006F39BE" w:rsidP="006F39BE">
      <w:pPr>
        <w:pStyle w:val="Prrafodelista"/>
        <w:rPr>
          <w:rFonts w:ascii="Tahoma" w:eastAsia="Times New Roman" w:hAnsi="Tahoma" w:cs="Tahoma"/>
          <w:lang w:val="es-ES" w:eastAsia="es-ES"/>
        </w:rPr>
      </w:pPr>
    </w:p>
    <w:p w:rsidR="006F39BE" w:rsidRPr="006F39BE" w:rsidRDefault="006F39BE" w:rsidP="006F39BE">
      <w:pPr>
        <w:tabs>
          <w:tab w:val="left" w:pos="180"/>
        </w:tabs>
        <w:spacing w:after="0" w:line="240" w:lineRule="auto"/>
        <w:ind w:left="180" w:firstLine="540"/>
        <w:jc w:val="both"/>
        <w:rPr>
          <w:rFonts w:ascii="Tahoma" w:eastAsia="Calibri" w:hAnsi="Tahoma" w:cs="Tahoma"/>
          <w:color w:val="000000"/>
          <w:lang w:val="es-ES" w:eastAsia="es-ES"/>
        </w:rPr>
      </w:pPr>
      <w:r w:rsidRPr="006F39BE">
        <w:rPr>
          <w:rFonts w:ascii="Tahoma" w:hAnsi="Tahoma" w:cs="Tahoma"/>
          <w:color w:val="000000"/>
        </w:rPr>
        <w:t>Por estos fundamentos, de conformidad con el informe de la Vocal Ponente Dra. Dammar Salaza</w:t>
      </w:r>
      <w:r>
        <w:rPr>
          <w:rFonts w:ascii="Tahoma" w:hAnsi="Tahoma" w:cs="Tahoma"/>
          <w:color w:val="000000"/>
        </w:rPr>
        <w:t>r Díaz,  y la intervención de la</w:t>
      </w:r>
      <w:r w:rsidRPr="006F39BE">
        <w:rPr>
          <w:rFonts w:ascii="Tahoma" w:hAnsi="Tahoma" w:cs="Tahoma"/>
          <w:color w:val="000000"/>
        </w:rPr>
        <w:t>s Vocales Dra. Ada Basulto Liewald y Dr</w:t>
      </w:r>
      <w:r>
        <w:rPr>
          <w:rFonts w:ascii="Tahoma" w:hAnsi="Tahoma" w:cs="Tahoma"/>
          <w:color w:val="000000"/>
        </w:rPr>
        <w:t>a</w:t>
      </w:r>
      <w:r w:rsidRPr="006F39BE">
        <w:rPr>
          <w:rFonts w:ascii="Tahoma" w:hAnsi="Tahoma" w:cs="Tahoma"/>
          <w:color w:val="000000"/>
        </w:rPr>
        <w:t xml:space="preserve">. </w:t>
      </w:r>
      <w:r>
        <w:rPr>
          <w:rFonts w:ascii="Tahoma" w:hAnsi="Tahoma" w:cs="Tahoma"/>
          <w:color w:val="000000"/>
        </w:rPr>
        <w:t>Wina Isasi Berrospi</w:t>
      </w:r>
      <w:r w:rsidRPr="006F39BE">
        <w:rPr>
          <w:rFonts w:ascii="Tahoma" w:hAnsi="Tahoma" w:cs="Tahoma"/>
          <w:color w:val="000000"/>
        </w:rPr>
        <w:t>, atendiendo a la reconformación de la Primera Sala del Tribunal de Contrataciones del Estado, según lo dispuesto en la Resolución Nº 574-2011-OSCE/PRE de fecha 02 de setiembre de 2011;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006-2009-EF;analizados los antecedentes y luego de agotado el debate correspondiente, por unanimidad</w:t>
      </w:r>
      <w:r w:rsidRPr="006F39BE">
        <w:rPr>
          <w:rFonts w:ascii="Tahoma" w:eastAsia="Calibri" w:hAnsi="Tahoma" w:cs="Tahoma"/>
          <w:color w:val="000000"/>
          <w:lang w:val="es-ES" w:eastAsia="es-ES"/>
        </w:rPr>
        <w:t>.</w:t>
      </w:r>
    </w:p>
    <w:p w:rsidR="006F39BE" w:rsidRPr="00EE792B" w:rsidRDefault="006F39BE" w:rsidP="006F39BE">
      <w:pPr>
        <w:spacing w:after="0" w:line="240" w:lineRule="auto"/>
        <w:rPr>
          <w:rFonts w:ascii="Tahoma" w:eastAsia="Calibri" w:hAnsi="Tahoma" w:cs="Tahoma"/>
          <w:color w:val="000000"/>
          <w:sz w:val="21"/>
          <w:szCs w:val="21"/>
          <w:lang w:val="es-ES" w:eastAsia="es-ES"/>
        </w:rPr>
      </w:pPr>
    </w:p>
    <w:p w:rsidR="006F39BE" w:rsidRPr="00EE792B" w:rsidRDefault="006F39BE" w:rsidP="006F39BE">
      <w:pPr>
        <w:spacing w:after="0" w:line="240" w:lineRule="auto"/>
        <w:ind w:firstLine="708"/>
        <w:jc w:val="both"/>
        <w:rPr>
          <w:rFonts w:ascii="Tahoma" w:eastAsia="Times New Roman" w:hAnsi="Tahoma" w:cs="Tahoma"/>
          <w:b/>
          <w:sz w:val="21"/>
          <w:szCs w:val="21"/>
          <w:lang w:val="es-ES" w:eastAsia="es-ES"/>
        </w:rPr>
      </w:pPr>
    </w:p>
    <w:p w:rsidR="006F39BE" w:rsidRPr="00EE792B" w:rsidRDefault="006F39BE" w:rsidP="006F39BE">
      <w:pPr>
        <w:spacing w:after="0" w:line="240" w:lineRule="auto"/>
        <w:ind w:firstLine="708"/>
        <w:jc w:val="both"/>
        <w:rPr>
          <w:rFonts w:ascii="Tahoma" w:eastAsia="Times New Roman" w:hAnsi="Tahoma" w:cs="Tahoma"/>
          <w:b/>
          <w:sz w:val="21"/>
          <w:szCs w:val="21"/>
          <w:lang w:val="es-ES" w:eastAsia="es-ES"/>
        </w:rPr>
      </w:pPr>
      <w:smartTag w:uri="urn:schemas-microsoft-com:office:smarttags" w:element="PersonName">
        <w:smartTagPr>
          <w:attr w:name="ProductID" w:val="LA SALA RESUELVE"/>
        </w:smartTagPr>
        <w:r w:rsidRPr="00EE792B">
          <w:rPr>
            <w:rFonts w:ascii="Tahoma" w:eastAsia="Times New Roman" w:hAnsi="Tahoma" w:cs="Tahoma"/>
            <w:b/>
            <w:sz w:val="21"/>
            <w:szCs w:val="21"/>
            <w:lang w:val="es-ES" w:eastAsia="es-ES"/>
          </w:rPr>
          <w:t>LA SALA RESUELVE</w:t>
        </w:r>
      </w:smartTag>
      <w:r w:rsidRPr="00EE792B">
        <w:rPr>
          <w:rFonts w:ascii="Tahoma" w:eastAsia="Times New Roman" w:hAnsi="Tahoma" w:cs="Tahoma"/>
          <w:b/>
          <w:sz w:val="21"/>
          <w:szCs w:val="21"/>
          <w:lang w:val="es-ES" w:eastAsia="es-ES"/>
        </w:rPr>
        <w:t xml:space="preserve">: </w:t>
      </w:r>
    </w:p>
    <w:p w:rsidR="006F39BE" w:rsidRPr="00EE792B" w:rsidRDefault="006F39BE" w:rsidP="006F39BE">
      <w:pPr>
        <w:spacing w:after="0" w:line="240" w:lineRule="auto"/>
        <w:ind w:firstLine="708"/>
        <w:jc w:val="both"/>
        <w:rPr>
          <w:rFonts w:ascii="Tahoma" w:eastAsia="Times New Roman" w:hAnsi="Tahoma" w:cs="Tahoma"/>
          <w:b/>
          <w:sz w:val="21"/>
          <w:szCs w:val="21"/>
          <w:lang w:val="es-ES" w:eastAsia="es-ES"/>
        </w:rPr>
      </w:pPr>
    </w:p>
    <w:p w:rsidR="006F39BE" w:rsidRPr="006F39BE" w:rsidRDefault="006F39BE" w:rsidP="006F39BE">
      <w:pPr>
        <w:numPr>
          <w:ilvl w:val="0"/>
          <w:numId w:val="13"/>
        </w:numPr>
        <w:tabs>
          <w:tab w:val="num" w:pos="540"/>
        </w:tabs>
        <w:spacing w:after="0" w:line="240" w:lineRule="auto"/>
        <w:ind w:left="540" w:right="-316" w:hanging="540"/>
        <w:contextualSpacing/>
        <w:jc w:val="both"/>
        <w:rPr>
          <w:rFonts w:ascii="Tahoma" w:eastAsia="Calibri" w:hAnsi="Tahoma" w:cs="Tahoma"/>
          <w:lang w:val="es-ES"/>
        </w:rPr>
      </w:pPr>
      <w:r w:rsidRPr="006F39BE">
        <w:rPr>
          <w:rFonts w:ascii="Tahoma" w:eastAsia="Times New Roman" w:hAnsi="Tahoma" w:cs="Tahoma"/>
          <w:lang w:val="es-ES" w:eastAsia="es-ES"/>
        </w:rPr>
        <w:t xml:space="preserve">SANCIONAR a la empresa </w:t>
      </w:r>
      <w:r w:rsidRPr="006F39BE">
        <w:rPr>
          <w:rFonts w:ascii="Tahoma" w:eastAsia="Calibri" w:hAnsi="Tahoma" w:cs="Tahoma"/>
          <w:b/>
          <w:lang w:val="es-ES" w:eastAsia="es-ES"/>
        </w:rPr>
        <w:t>CENCAR S.A.C.</w:t>
      </w:r>
      <w:r w:rsidRPr="006F39BE">
        <w:rPr>
          <w:rFonts w:ascii="Tahoma" w:eastAsia="Calibri" w:hAnsi="Tahoma" w:cs="Tahoma"/>
          <w:lang w:val="es-ES" w:eastAsia="es-ES"/>
        </w:rPr>
        <w:t>,</w:t>
      </w:r>
      <w:r w:rsidRPr="006F39BE">
        <w:rPr>
          <w:rFonts w:ascii="Tahoma" w:eastAsia="Times New Roman" w:hAnsi="Tahoma" w:cs="Tahoma"/>
          <w:lang w:val="es-ES" w:eastAsia="es-ES"/>
        </w:rPr>
        <w:t xml:space="preserve"> con doce (12)  meses de inhabilitación temporal para participar en procesos de selección y contratar con el Estado, por la comisión de la infracción tipificada en el literal a) del numeral 51.1 del artículo 51 de la Ley de Contrataciones del Estado, aprobado por Decreto Legislativo Nº 1017, la cual entrará en vigencia a partir del sexto de día de notificada la presente Resolución.</w:t>
      </w:r>
    </w:p>
    <w:p w:rsidR="006F39BE" w:rsidRPr="006F39BE" w:rsidRDefault="006F39BE" w:rsidP="006F39BE">
      <w:pPr>
        <w:spacing w:after="0" w:line="240" w:lineRule="auto"/>
        <w:ind w:left="540" w:right="-316"/>
        <w:contextualSpacing/>
        <w:jc w:val="both"/>
        <w:rPr>
          <w:rFonts w:ascii="Tahoma" w:eastAsia="Calibri" w:hAnsi="Tahoma" w:cs="Tahoma"/>
          <w:lang w:val="es-ES"/>
        </w:rPr>
      </w:pPr>
    </w:p>
    <w:p w:rsidR="006F39BE" w:rsidRPr="006F39BE" w:rsidRDefault="006F39BE" w:rsidP="006F39BE">
      <w:pPr>
        <w:numPr>
          <w:ilvl w:val="0"/>
          <w:numId w:val="13"/>
        </w:numPr>
        <w:tabs>
          <w:tab w:val="num" w:pos="540"/>
        </w:tabs>
        <w:spacing w:after="0" w:line="240" w:lineRule="auto"/>
        <w:ind w:left="540" w:right="-316" w:hanging="540"/>
        <w:contextualSpacing/>
        <w:jc w:val="both"/>
        <w:rPr>
          <w:rFonts w:ascii="Tahoma" w:eastAsia="Calibri" w:hAnsi="Tahoma" w:cs="Tahoma"/>
          <w:lang w:val="es-ES"/>
        </w:rPr>
      </w:pPr>
      <w:r w:rsidRPr="006F39BE">
        <w:rPr>
          <w:rFonts w:ascii="Tahoma" w:eastAsia="Times New Roman" w:hAnsi="Tahoma" w:cs="Tahoma"/>
          <w:lang w:val="es-ES" w:eastAsia="es-ES"/>
        </w:rPr>
        <w:t>Poner la presente Resolución en conocimiento de la Subdirección del Registro Nacional de Proveedores del OSCE, para las anotaciones de ley.</w:t>
      </w:r>
    </w:p>
    <w:p w:rsidR="006F39BE" w:rsidRPr="00EE792B" w:rsidRDefault="006F39BE" w:rsidP="006F39BE">
      <w:pPr>
        <w:tabs>
          <w:tab w:val="num" w:pos="540"/>
        </w:tabs>
        <w:spacing w:after="0" w:line="240" w:lineRule="auto"/>
        <w:ind w:right="-1"/>
        <w:jc w:val="both"/>
        <w:rPr>
          <w:rFonts w:ascii="Tahoma" w:eastAsia="Times New Roman" w:hAnsi="Tahoma" w:cs="Tahoma"/>
          <w:sz w:val="21"/>
          <w:szCs w:val="21"/>
          <w:lang w:val="es-ES" w:eastAsia="es-ES"/>
        </w:rPr>
      </w:pPr>
    </w:p>
    <w:p w:rsidR="006F39BE" w:rsidRPr="00EE792B" w:rsidRDefault="006F39BE" w:rsidP="006F39BE">
      <w:pPr>
        <w:spacing w:after="0" w:line="240" w:lineRule="auto"/>
        <w:ind w:firstLine="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Regístrese, comuníquese y publíquese.</w:t>
      </w:r>
    </w:p>
    <w:p w:rsidR="006F39BE" w:rsidRPr="00EE792B" w:rsidRDefault="006F39BE" w:rsidP="006F39BE">
      <w:pPr>
        <w:spacing w:after="0" w:line="240" w:lineRule="auto"/>
        <w:rPr>
          <w:rFonts w:ascii="Tahoma" w:eastAsia="Times New Roman" w:hAnsi="Tahoma" w:cs="Tahoma"/>
          <w:sz w:val="21"/>
          <w:szCs w:val="21"/>
          <w:lang w:val="es-ES" w:eastAsia="es-ES"/>
        </w:rPr>
      </w:pPr>
    </w:p>
    <w:p w:rsidR="006F39BE" w:rsidRPr="00EE792B" w:rsidRDefault="006F39BE" w:rsidP="006F39BE">
      <w:pPr>
        <w:spacing w:after="0" w:line="240" w:lineRule="auto"/>
        <w:rPr>
          <w:rFonts w:ascii="Tahoma" w:eastAsia="Times New Roman" w:hAnsi="Tahoma" w:cs="Tahoma"/>
          <w:sz w:val="21"/>
          <w:szCs w:val="21"/>
          <w:lang w:val="es-ES" w:eastAsia="es-ES"/>
        </w:rPr>
      </w:pPr>
    </w:p>
    <w:p w:rsidR="006F39BE" w:rsidRPr="00EE792B" w:rsidRDefault="006F39BE" w:rsidP="006F39BE">
      <w:pPr>
        <w:spacing w:after="0" w:line="240" w:lineRule="auto"/>
        <w:rPr>
          <w:rFonts w:ascii="Tahoma" w:eastAsia="Times New Roman" w:hAnsi="Tahoma" w:cs="Tahoma"/>
          <w:sz w:val="21"/>
          <w:szCs w:val="21"/>
          <w:lang w:val="es-ES" w:eastAsia="es-ES"/>
        </w:rPr>
      </w:pPr>
    </w:p>
    <w:p w:rsidR="006F39BE" w:rsidRPr="00EE792B" w:rsidRDefault="006F39BE" w:rsidP="006F39BE">
      <w:pPr>
        <w:spacing w:after="0" w:line="240" w:lineRule="auto"/>
        <w:rPr>
          <w:rFonts w:ascii="Tahoma" w:eastAsia="Times New Roman" w:hAnsi="Tahoma" w:cs="Tahoma"/>
          <w:sz w:val="21"/>
          <w:szCs w:val="21"/>
          <w:lang w:val="es-ES" w:eastAsia="es-ES"/>
        </w:rPr>
      </w:pPr>
    </w:p>
    <w:p w:rsidR="006F39BE" w:rsidRPr="00EE792B" w:rsidRDefault="006F39BE" w:rsidP="006F39BE">
      <w:pPr>
        <w:spacing w:after="0" w:line="240" w:lineRule="auto"/>
        <w:jc w:val="center"/>
        <w:rPr>
          <w:rFonts w:ascii="Tahoma" w:eastAsia="Times New Roman" w:hAnsi="Tahoma" w:cs="Tahoma"/>
          <w:b/>
          <w:sz w:val="21"/>
          <w:szCs w:val="21"/>
          <w:lang w:val="es-ES" w:eastAsia="es-ES"/>
        </w:rPr>
      </w:pPr>
      <w:r w:rsidRPr="00EE792B">
        <w:rPr>
          <w:rFonts w:ascii="Tahoma" w:eastAsia="Times New Roman" w:hAnsi="Tahoma" w:cs="Tahoma"/>
          <w:b/>
          <w:sz w:val="21"/>
          <w:szCs w:val="21"/>
          <w:lang w:val="es-ES" w:eastAsia="es-ES"/>
        </w:rPr>
        <w:t>PRESIDENT</w:t>
      </w:r>
      <w:r>
        <w:rPr>
          <w:rFonts w:ascii="Tahoma" w:eastAsia="Times New Roman" w:hAnsi="Tahoma" w:cs="Tahoma"/>
          <w:b/>
          <w:sz w:val="21"/>
          <w:szCs w:val="21"/>
          <w:lang w:val="es-ES" w:eastAsia="es-ES"/>
        </w:rPr>
        <w:t>A</w:t>
      </w:r>
    </w:p>
    <w:p w:rsidR="006F39BE" w:rsidRPr="00EE792B" w:rsidRDefault="006F39BE" w:rsidP="006F39BE">
      <w:pPr>
        <w:spacing w:after="0" w:line="240" w:lineRule="auto"/>
        <w:rPr>
          <w:rFonts w:ascii="Tahoma" w:eastAsia="Times New Roman" w:hAnsi="Tahoma" w:cs="Tahoma"/>
          <w:b/>
          <w:sz w:val="21"/>
          <w:szCs w:val="21"/>
          <w:lang w:val="es-ES" w:eastAsia="es-ES"/>
        </w:rPr>
      </w:pPr>
    </w:p>
    <w:p w:rsidR="006F39BE" w:rsidRPr="00EE792B" w:rsidRDefault="006F39BE" w:rsidP="006F39BE">
      <w:pPr>
        <w:spacing w:after="0" w:line="240" w:lineRule="auto"/>
        <w:rPr>
          <w:rFonts w:ascii="Tahoma" w:eastAsia="Times New Roman" w:hAnsi="Tahoma" w:cs="Tahoma"/>
          <w:b/>
          <w:sz w:val="21"/>
          <w:szCs w:val="21"/>
          <w:lang w:val="es-ES" w:eastAsia="es-ES"/>
        </w:rPr>
      </w:pPr>
    </w:p>
    <w:p w:rsidR="006F39BE" w:rsidRPr="00EE792B" w:rsidRDefault="006F39BE" w:rsidP="006F39BE">
      <w:pPr>
        <w:spacing w:after="0" w:line="240" w:lineRule="auto"/>
        <w:jc w:val="both"/>
        <w:rPr>
          <w:rFonts w:ascii="Tahoma" w:eastAsia="Times New Roman" w:hAnsi="Tahoma" w:cs="Tahoma"/>
          <w:b/>
          <w:sz w:val="21"/>
          <w:szCs w:val="21"/>
          <w:lang w:val="es-ES" w:eastAsia="es-ES"/>
        </w:rPr>
      </w:pPr>
    </w:p>
    <w:p w:rsidR="006F39BE" w:rsidRPr="00EE792B" w:rsidRDefault="006F39BE" w:rsidP="006F39BE">
      <w:pPr>
        <w:spacing w:after="0" w:line="240" w:lineRule="auto"/>
        <w:jc w:val="both"/>
        <w:rPr>
          <w:rFonts w:ascii="Tahoma" w:eastAsia="Times New Roman" w:hAnsi="Tahoma" w:cs="Tahoma"/>
          <w:b/>
          <w:sz w:val="21"/>
          <w:szCs w:val="21"/>
          <w:lang w:val="es-ES" w:eastAsia="es-ES"/>
        </w:rPr>
      </w:pPr>
    </w:p>
    <w:p w:rsidR="006F39BE" w:rsidRPr="00EE792B" w:rsidRDefault="006F39BE" w:rsidP="006F39BE">
      <w:pPr>
        <w:spacing w:after="0" w:line="240" w:lineRule="auto"/>
        <w:jc w:val="both"/>
        <w:rPr>
          <w:rFonts w:ascii="Tahoma" w:eastAsia="Times New Roman" w:hAnsi="Tahoma" w:cs="Tahoma"/>
          <w:sz w:val="21"/>
          <w:szCs w:val="21"/>
          <w:lang w:val="es-ES" w:eastAsia="es-ES"/>
        </w:rPr>
      </w:pPr>
      <w:r w:rsidRPr="00EE792B">
        <w:rPr>
          <w:rFonts w:ascii="Tahoma" w:eastAsia="Times New Roman" w:hAnsi="Tahoma" w:cs="Tahoma"/>
          <w:b/>
          <w:sz w:val="21"/>
          <w:szCs w:val="21"/>
          <w:lang w:val="es-ES" w:eastAsia="es-ES"/>
        </w:rPr>
        <w:t xml:space="preserve">                     VOCAL                                                                                   VOCAL</w:t>
      </w:r>
    </w:p>
    <w:p w:rsidR="006F39BE" w:rsidRPr="00EE792B" w:rsidRDefault="006F39BE" w:rsidP="006F39BE">
      <w:pPr>
        <w:spacing w:after="0" w:line="240" w:lineRule="auto"/>
        <w:jc w:val="both"/>
        <w:rPr>
          <w:rFonts w:ascii="Tahoma" w:eastAsia="Times New Roman" w:hAnsi="Tahoma" w:cs="Tahoma"/>
          <w:sz w:val="21"/>
          <w:szCs w:val="21"/>
          <w:lang w:val="es-ES" w:eastAsia="es-ES"/>
        </w:rPr>
      </w:pPr>
    </w:p>
    <w:p w:rsidR="006F39BE" w:rsidRPr="00EE792B" w:rsidRDefault="006F39BE" w:rsidP="006F39BE">
      <w:pPr>
        <w:spacing w:after="0" w:line="240" w:lineRule="auto"/>
        <w:jc w:val="both"/>
        <w:rPr>
          <w:rFonts w:ascii="Tahoma" w:eastAsia="Times New Roman" w:hAnsi="Tahoma" w:cs="Tahoma"/>
          <w:sz w:val="21"/>
          <w:szCs w:val="21"/>
          <w:lang w:val="es-ES" w:eastAsia="es-ES"/>
        </w:rPr>
      </w:pPr>
    </w:p>
    <w:p w:rsidR="006F39BE" w:rsidRPr="00EE792B" w:rsidRDefault="006F39BE" w:rsidP="006F39BE">
      <w:pPr>
        <w:spacing w:after="0" w:line="240" w:lineRule="auto"/>
        <w:jc w:val="both"/>
        <w:rPr>
          <w:rFonts w:ascii="Tahoma" w:eastAsia="Times New Roman" w:hAnsi="Tahoma" w:cs="Tahoma"/>
          <w:sz w:val="21"/>
          <w:szCs w:val="21"/>
          <w:lang w:val="es-ES" w:eastAsia="es-ES"/>
        </w:rPr>
      </w:pPr>
    </w:p>
    <w:p w:rsidR="006F39BE" w:rsidRPr="00EE792B" w:rsidRDefault="006F39BE" w:rsidP="006F39BE">
      <w:pPr>
        <w:tabs>
          <w:tab w:val="left" w:pos="3544"/>
          <w:tab w:val="left" w:pos="7230"/>
          <w:tab w:val="left" w:pos="8505"/>
        </w:tabs>
        <w:spacing w:after="0" w:line="240" w:lineRule="auto"/>
        <w:ind w:right="-486"/>
        <w:jc w:val="both"/>
        <w:rPr>
          <w:rFonts w:ascii="Tahoma" w:eastAsia="Times New Roman" w:hAnsi="Tahoma" w:cs="Tahoma"/>
          <w:sz w:val="21"/>
          <w:szCs w:val="21"/>
          <w:lang w:val="pt-BR" w:eastAsia="es-ES"/>
        </w:rPr>
      </w:pPr>
      <w:r w:rsidRPr="00EE792B">
        <w:rPr>
          <w:rFonts w:ascii="Tahoma" w:eastAsia="Times New Roman" w:hAnsi="Tahoma" w:cs="Tahoma"/>
          <w:sz w:val="21"/>
          <w:szCs w:val="21"/>
          <w:lang w:val="pt-BR" w:eastAsia="es-ES"/>
        </w:rPr>
        <w:t>ss.</w:t>
      </w:r>
    </w:p>
    <w:p w:rsidR="006F39BE" w:rsidRPr="00EE792B" w:rsidRDefault="006F39BE" w:rsidP="006F39BE">
      <w:pPr>
        <w:tabs>
          <w:tab w:val="left" w:pos="3544"/>
          <w:tab w:val="left" w:pos="7230"/>
          <w:tab w:val="left" w:pos="8505"/>
        </w:tabs>
        <w:spacing w:after="0" w:line="240" w:lineRule="auto"/>
        <w:ind w:right="-486"/>
        <w:jc w:val="both"/>
        <w:rPr>
          <w:rFonts w:ascii="Tahoma" w:eastAsia="Times New Roman" w:hAnsi="Tahoma" w:cs="Tahoma"/>
          <w:sz w:val="21"/>
          <w:szCs w:val="21"/>
          <w:lang w:val="pt-BR" w:eastAsia="es-ES"/>
        </w:rPr>
      </w:pPr>
      <w:r>
        <w:rPr>
          <w:rFonts w:ascii="Tahoma" w:eastAsia="Times New Roman" w:hAnsi="Tahoma" w:cs="Tahoma"/>
          <w:sz w:val="21"/>
          <w:szCs w:val="21"/>
          <w:lang w:val="pt-BR" w:eastAsia="es-ES"/>
        </w:rPr>
        <w:t>Basulto Liewald</w:t>
      </w:r>
      <w:r w:rsidRPr="00EE792B">
        <w:rPr>
          <w:rFonts w:ascii="Tahoma" w:eastAsia="Times New Roman" w:hAnsi="Tahoma" w:cs="Tahoma"/>
          <w:sz w:val="21"/>
          <w:szCs w:val="21"/>
          <w:lang w:val="pt-BR" w:eastAsia="es-ES"/>
        </w:rPr>
        <w:t>.</w:t>
      </w:r>
    </w:p>
    <w:p w:rsidR="006F39BE" w:rsidRPr="0056657A" w:rsidRDefault="006F39BE" w:rsidP="006F39BE">
      <w:pPr>
        <w:tabs>
          <w:tab w:val="left" w:pos="3544"/>
          <w:tab w:val="left" w:pos="7230"/>
          <w:tab w:val="left" w:pos="8505"/>
        </w:tabs>
        <w:spacing w:after="0" w:line="240" w:lineRule="auto"/>
        <w:ind w:right="-486"/>
        <w:jc w:val="both"/>
        <w:rPr>
          <w:rFonts w:ascii="Tahoma" w:eastAsia="Times New Roman" w:hAnsi="Tahoma" w:cs="Tahoma"/>
          <w:b/>
          <w:color w:val="000000"/>
          <w:sz w:val="21"/>
          <w:szCs w:val="21"/>
          <w:lang w:val="es-ES" w:eastAsia="es-ES"/>
        </w:rPr>
      </w:pPr>
      <w:r w:rsidRPr="0056657A">
        <w:rPr>
          <w:rFonts w:ascii="Tahoma" w:eastAsia="Times New Roman" w:hAnsi="Tahoma" w:cs="Tahoma"/>
          <w:b/>
          <w:color w:val="000000"/>
          <w:sz w:val="21"/>
          <w:szCs w:val="21"/>
          <w:lang w:val="es-ES" w:eastAsia="es-ES"/>
        </w:rPr>
        <w:t>Salazar Díaz.</w:t>
      </w:r>
    </w:p>
    <w:p w:rsidR="006F39BE" w:rsidRPr="00EE792B" w:rsidRDefault="006F39BE" w:rsidP="006F39BE">
      <w:pPr>
        <w:tabs>
          <w:tab w:val="left" w:pos="3544"/>
          <w:tab w:val="left" w:pos="7230"/>
          <w:tab w:val="left" w:pos="8505"/>
        </w:tabs>
        <w:spacing w:after="0" w:line="240" w:lineRule="auto"/>
        <w:ind w:right="-486"/>
        <w:jc w:val="both"/>
        <w:rPr>
          <w:rFonts w:ascii="Tahoma" w:eastAsia="Times New Roman" w:hAnsi="Tahoma" w:cs="Tahoma"/>
          <w:sz w:val="21"/>
          <w:szCs w:val="21"/>
          <w:lang w:val="es-ES" w:eastAsia="es-ES"/>
        </w:rPr>
      </w:pPr>
      <w:r>
        <w:rPr>
          <w:rFonts w:ascii="Tahoma" w:eastAsia="Times New Roman" w:hAnsi="Tahoma" w:cs="Tahoma"/>
          <w:color w:val="000000"/>
          <w:sz w:val="21"/>
          <w:szCs w:val="21"/>
          <w:lang w:val="es-ES" w:eastAsia="es-ES"/>
        </w:rPr>
        <w:t>Isasi Berrospi</w:t>
      </w:r>
      <w:r w:rsidRPr="00EE792B">
        <w:rPr>
          <w:rFonts w:ascii="Tahoma" w:eastAsia="Times New Roman" w:hAnsi="Tahoma" w:cs="Tahoma"/>
          <w:color w:val="000000"/>
          <w:sz w:val="21"/>
          <w:szCs w:val="21"/>
          <w:lang w:val="es-ES" w:eastAsia="es-ES"/>
        </w:rPr>
        <w:t>.</w:t>
      </w:r>
    </w:p>
    <w:p w:rsidR="006F39BE" w:rsidRPr="00EE792B" w:rsidRDefault="006F39BE" w:rsidP="006F39BE">
      <w:pPr>
        <w:spacing w:after="0" w:line="240" w:lineRule="auto"/>
        <w:jc w:val="both"/>
        <w:rPr>
          <w:rFonts w:ascii="Tahoma" w:eastAsia="Times New Roman" w:hAnsi="Tahoma" w:cs="Tahoma"/>
          <w:sz w:val="21"/>
          <w:szCs w:val="21"/>
          <w:lang w:eastAsia="es-ES"/>
        </w:rPr>
      </w:pPr>
    </w:p>
    <w:p w:rsidR="006F39BE" w:rsidRPr="00EE792B" w:rsidRDefault="006F39BE" w:rsidP="006F39BE">
      <w:pPr>
        <w:rPr>
          <w:rFonts w:ascii="Tahoma" w:hAnsi="Tahoma" w:cs="Tahoma"/>
          <w:sz w:val="21"/>
          <w:szCs w:val="21"/>
        </w:rPr>
      </w:pPr>
    </w:p>
    <w:p w:rsidR="006D6481" w:rsidRDefault="006D6481"/>
    <w:sectPr w:rsidR="006D6481" w:rsidSect="006F39BE">
      <w:headerReference w:type="default" r:id="rId7"/>
      <w:footerReference w:type="default" r:id="rId8"/>
      <w:pgSz w:w="11907" w:h="16839" w:code="9"/>
      <w:pgMar w:top="354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4A4A" w:rsidRDefault="007C4A4A" w:rsidP="006F39BE">
      <w:pPr>
        <w:spacing w:after="0" w:line="240" w:lineRule="auto"/>
      </w:pPr>
      <w:r>
        <w:separator/>
      </w:r>
    </w:p>
  </w:endnote>
  <w:endnote w:type="continuationSeparator" w:id="1">
    <w:p w:rsidR="007C4A4A" w:rsidRDefault="007C4A4A" w:rsidP="006F39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0134683"/>
      <w:docPartObj>
        <w:docPartGallery w:val="Page Numbers (Bottom of Page)"/>
        <w:docPartUnique/>
      </w:docPartObj>
    </w:sdtPr>
    <w:sdtContent>
      <w:sdt>
        <w:sdtPr>
          <w:id w:val="-1669238322"/>
          <w:docPartObj>
            <w:docPartGallery w:val="Page Numbers (Top of Page)"/>
            <w:docPartUnique/>
          </w:docPartObj>
        </w:sdtPr>
        <w:sdtContent>
          <w:p w:rsidR="004C42BB" w:rsidRDefault="004C42BB">
            <w:pPr>
              <w:pStyle w:val="Piedepgina"/>
              <w:jc w:val="center"/>
            </w:pPr>
            <w:r>
              <w:rPr>
                <w:lang w:val="es-ES"/>
              </w:rPr>
              <w:t xml:space="preserve">Página </w:t>
            </w:r>
            <w:r w:rsidR="00F77DC1">
              <w:rPr>
                <w:b/>
                <w:bCs/>
                <w:sz w:val="24"/>
                <w:szCs w:val="24"/>
              </w:rPr>
              <w:fldChar w:fldCharType="begin"/>
            </w:r>
            <w:r>
              <w:rPr>
                <w:b/>
                <w:bCs/>
              </w:rPr>
              <w:instrText>PAGE</w:instrText>
            </w:r>
            <w:r w:rsidR="00F77DC1">
              <w:rPr>
                <w:b/>
                <w:bCs/>
                <w:sz w:val="24"/>
                <w:szCs w:val="24"/>
              </w:rPr>
              <w:fldChar w:fldCharType="separate"/>
            </w:r>
            <w:r w:rsidR="00187DE0">
              <w:rPr>
                <w:b/>
                <w:bCs/>
                <w:noProof/>
              </w:rPr>
              <w:t>7</w:t>
            </w:r>
            <w:r w:rsidR="00F77DC1">
              <w:rPr>
                <w:b/>
                <w:bCs/>
                <w:sz w:val="24"/>
                <w:szCs w:val="24"/>
              </w:rPr>
              <w:fldChar w:fldCharType="end"/>
            </w:r>
            <w:r>
              <w:rPr>
                <w:lang w:val="es-ES"/>
              </w:rPr>
              <w:t xml:space="preserve"> de </w:t>
            </w:r>
            <w:r w:rsidR="00F77DC1">
              <w:rPr>
                <w:b/>
                <w:bCs/>
                <w:sz w:val="24"/>
                <w:szCs w:val="24"/>
              </w:rPr>
              <w:fldChar w:fldCharType="begin"/>
            </w:r>
            <w:r>
              <w:rPr>
                <w:b/>
                <w:bCs/>
              </w:rPr>
              <w:instrText>NUMPAGES</w:instrText>
            </w:r>
            <w:r w:rsidR="00F77DC1">
              <w:rPr>
                <w:b/>
                <w:bCs/>
                <w:sz w:val="24"/>
                <w:szCs w:val="24"/>
              </w:rPr>
              <w:fldChar w:fldCharType="separate"/>
            </w:r>
            <w:r w:rsidR="00187DE0">
              <w:rPr>
                <w:b/>
                <w:bCs/>
                <w:noProof/>
              </w:rPr>
              <w:t>12</w:t>
            </w:r>
            <w:r w:rsidR="00F77DC1">
              <w:rPr>
                <w:b/>
                <w:bCs/>
                <w:sz w:val="24"/>
                <w:szCs w:val="24"/>
              </w:rPr>
              <w:fldChar w:fldCharType="end"/>
            </w:r>
          </w:p>
        </w:sdtContent>
      </w:sdt>
    </w:sdtContent>
  </w:sdt>
  <w:p w:rsidR="004C42BB" w:rsidRDefault="004C42B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4A4A" w:rsidRDefault="007C4A4A" w:rsidP="006F39BE">
      <w:pPr>
        <w:spacing w:after="0" w:line="240" w:lineRule="auto"/>
      </w:pPr>
      <w:r>
        <w:separator/>
      </w:r>
    </w:p>
  </w:footnote>
  <w:footnote w:type="continuationSeparator" w:id="1">
    <w:p w:rsidR="007C4A4A" w:rsidRDefault="007C4A4A" w:rsidP="006F39BE">
      <w:pPr>
        <w:spacing w:after="0" w:line="240" w:lineRule="auto"/>
      </w:pPr>
      <w:r>
        <w:continuationSeparator/>
      </w:r>
    </w:p>
  </w:footnote>
  <w:footnote w:id="2">
    <w:p w:rsidR="006F39BE" w:rsidRPr="00D847FA" w:rsidRDefault="006F39BE" w:rsidP="006F39BE">
      <w:pPr>
        <w:pStyle w:val="Textonotapie"/>
        <w:rPr>
          <w:i/>
        </w:rPr>
      </w:pPr>
      <w:r w:rsidRPr="00D847FA">
        <w:rPr>
          <w:rStyle w:val="Refdenotaalpie"/>
          <w:i/>
        </w:rPr>
        <w:footnoteRef/>
      </w:r>
      <w:r w:rsidRPr="00D847FA">
        <w:rPr>
          <w:i/>
        </w:rPr>
        <w:t xml:space="preserve"> Aprobado mediante Decreto Legislativo Nº 1017.</w:t>
      </w:r>
    </w:p>
  </w:footnote>
  <w:footnote w:id="3">
    <w:p w:rsidR="006F39BE" w:rsidRPr="00D847FA" w:rsidRDefault="006F39BE" w:rsidP="006F39BE">
      <w:pPr>
        <w:pStyle w:val="Textonotapie"/>
        <w:rPr>
          <w:i/>
        </w:rPr>
      </w:pPr>
      <w:r w:rsidRPr="00D847FA">
        <w:rPr>
          <w:rStyle w:val="Refdenotaalpie"/>
          <w:i/>
        </w:rPr>
        <w:footnoteRef/>
      </w:r>
      <w:r w:rsidRPr="00D847FA">
        <w:rPr>
          <w:i/>
        </w:rPr>
        <w:t xml:space="preserve"> Aprobado por Decreto Supremo Nº 184-2008-EF.</w:t>
      </w:r>
    </w:p>
  </w:footnote>
  <w:footnote w:id="4">
    <w:p w:rsidR="006F39BE" w:rsidRPr="00063802" w:rsidRDefault="006F39BE" w:rsidP="006F39BE">
      <w:pPr>
        <w:pStyle w:val="Textonotapie"/>
        <w:rPr>
          <w:i/>
          <w:sz w:val="18"/>
          <w:szCs w:val="18"/>
        </w:rPr>
      </w:pPr>
      <w:r w:rsidRPr="00063802">
        <w:rPr>
          <w:rStyle w:val="Refdenotaalpie"/>
          <w:i/>
          <w:sz w:val="18"/>
          <w:szCs w:val="18"/>
        </w:rPr>
        <w:footnoteRef/>
      </w:r>
      <w:r w:rsidRPr="00063802">
        <w:rPr>
          <w:b/>
          <w:i/>
          <w:sz w:val="18"/>
          <w:szCs w:val="18"/>
        </w:rPr>
        <w:t>Artículo 51.- Infracciones y sanciones administrativas</w:t>
      </w:r>
    </w:p>
    <w:p w:rsidR="006F39BE" w:rsidRPr="00063802" w:rsidRDefault="006F39BE" w:rsidP="006F39BE">
      <w:pPr>
        <w:pStyle w:val="Textonotapie"/>
        <w:ind w:left="142"/>
        <w:rPr>
          <w:i/>
          <w:sz w:val="18"/>
          <w:szCs w:val="18"/>
        </w:rPr>
      </w:pPr>
      <w:r w:rsidRPr="00063802">
        <w:rPr>
          <w:i/>
          <w:sz w:val="18"/>
          <w:szCs w:val="18"/>
        </w:rPr>
        <w:t>51.1 Infracciones</w:t>
      </w:r>
    </w:p>
    <w:p w:rsidR="006F39BE" w:rsidRPr="00063802" w:rsidRDefault="006F39BE" w:rsidP="006F39BE">
      <w:pPr>
        <w:pStyle w:val="Textonotapie"/>
        <w:ind w:left="142"/>
        <w:jc w:val="both"/>
        <w:rPr>
          <w:i/>
          <w:sz w:val="18"/>
          <w:szCs w:val="18"/>
        </w:rPr>
      </w:pPr>
      <w:r w:rsidRPr="00063802">
        <w:rPr>
          <w:i/>
          <w:sz w:val="18"/>
          <w:szCs w:val="18"/>
        </w:rPr>
        <w:t xml:space="preserve">Se impondrá sanción administrativa a los proveedores, participantes, postores y/o contratistas que: </w:t>
      </w:r>
    </w:p>
    <w:p w:rsidR="006F39BE" w:rsidRPr="00063802" w:rsidRDefault="006F39BE" w:rsidP="006F39BE">
      <w:pPr>
        <w:pStyle w:val="Textonotapie"/>
        <w:numPr>
          <w:ilvl w:val="0"/>
          <w:numId w:val="12"/>
        </w:numPr>
        <w:jc w:val="both"/>
        <w:rPr>
          <w:i/>
          <w:sz w:val="18"/>
          <w:szCs w:val="18"/>
        </w:rPr>
      </w:pPr>
      <w:r w:rsidRPr="00063802">
        <w:rPr>
          <w:i/>
          <w:sz w:val="18"/>
          <w:szCs w:val="18"/>
        </w:rPr>
        <w:t>No mantengan su oferta hasta el consentimiento de la Buena Pro o, de resultar ganadores hasta la suscripción del contrato, no suscriban injustificadamente el contrato, o no reciban injustificadamente la orden de compra o de servicio emitida a su favor;</w:t>
      </w:r>
    </w:p>
    <w:p w:rsidR="006F39BE" w:rsidRPr="00063802" w:rsidRDefault="006F39BE" w:rsidP="006F39BE">
      <w:pPr>
        <w:pStyle w:val="Textonotapie"/>
        <w:ind w:left="142"/>
        <w:jc w:val="both"/>
        <w:rPr>
          <w:i/>
          <w:sz w:val="18"/>
          <w:szCs w:val="18"/>
        </w:rPr>
      </w:pPr>
      <w:r w:rsidRPr="00063802">
        <w:rPr>
          <w:i/>
          <w:sz w:val="18"/>
          <w:szCs w:val="18"/>
        </w:rPr>
        <w:t>(…)</w:t>
      </w:r>
    </w:p>
  </w:footnote>
  <w:footnote w:id="5">
    <w:p w:rsidR="006F39BE" w:rsidRPr="00063802" w:rsidRDefault="006F39BE" w:rsidP="006F39BE">
      <w:pPr>
        <w:pStyle w:val="Textonotapie"/>
        <w:rPr>
          <w:i/>
          <w:sz w:val="18"/>
          <w:szCs w:val="18"/>
        </w:rPr>
      </w:pPr>
      <w:r w:rsidRPr="00063802">
        <w:rPr>
          <w:rStyle w:val="Refdenotaalpie"/>
          <w:i/>
          <w:sz w:val="18"/>
          <w:szCs w:val="18"/>
        </w:rPr>
        <w:footnoteRef/>
      </w:r>
      <w:r w:rsidRPr="00063802">
        <w:rPr>
          <w:i/>
          <w:sz w:val="18"/>
          <w:szCs w:val="18"/>
        </w:rPr>
        <w:t xml:space="preserve"> Artículo modificado por el artículo 1º del Decreto Supremo № 107-2007-EF publicado el </w:t>
      </w:r>
      <w:smartTag w:uri="urn:schemas-microsoft-com:office:smarttags" w:element="date">
        <w:smartTagPr>
          <w:attr w:name="ls" w:val="trans"/>
          <w:attr w:name="Month" w:val="7"/>
          <w:attr w:name="Day" w:val="20"/>
          <w:attr w:name="Year" w:val="2007"/>
        </w:smartTagPr>
        <w:r w:rsidRPr="00063802">
          <w:rPr>
            <w:i/>
            <w:sz w:val="18"/>
            <w:szCs w:val="18"/>
          </w:rPr>
          <w:t>20 de julio de 2007</w:t>
        </w:r>
      </w:smartTag>
      <w:r w:rsidRPr="00063802">
        <w:rPr>
          <w:i/>
          <w:sz w:val="18"/>
          <w:szCs w:val="18"/>
        </w:rPr>
        <w:t>.</w:t>
      </w:r>
    </w:p>
    <w:p w:rsidR="006F39BE" w:rsidRPr="00063802" w:rsidRDefault="006F39BE" w:rsidP="006F39BE">
      <w:pPr>
        <w:pStyle w:val="Textonotapie"/>
        <w:rPr>
          <w:i/>
          <w:sz w:val="18"/>
          <w:szCs w:val="18"/>
        </w:rPr>
      </w:pPr>
    </w:p>
  </w:footnote>
  <w:footnote w:id="6">
    <w:p w:rsidR="006F39BE" w:rsidRPr="00427ACE" w:rsidRDefault="006F39BE" w:rsidP="006F39BE">
      <w:pPr>
        <w:pStyle w:val="Textonotapie"/>
        <w:tabs>
          <w:tab w:val="left" w:pos="360"/>
        </w:tabs>
        <w:ind w:left="360" w:hanging="360"/>
        <w:jc w:val="both"/>
        <w:rPr>
          <w:rFonts w:ascii="Bookman Old Style" w:hAnsi="Bookman Old Style"/>
          <w:i/>
          <w:sz w:val="18"/>
          <w:szCs w:val="18"/>
        </w:rPr>
      </w:pPr>
      <w:r w:rsidRPr="00427ACE">
        <w:rPr>
          <w:rStyle w:val="Refdenotaalpie"/>
          <w:rFonts w:ascii="Bookman Old Style" w:hAnsi="Bookman Old Style"/>
          <w:i/>
          <w:sz w:val="18"/>
          <w:szCs w:val="18"/>
        </w:rPr>
        <w:footnoteRef/>
      </w:r>
      <w:r w:rsidRPr="00427ACE">
        <w:rPr>
          <w:rFonts w:ascii="Bookman Old Style" w:hAnsi="Bookman Old Style"/>
          <w:i/>
          <w:sz w:val="18"/>
          <w:szCs w:val="18"/>
        </w:rPr>
        <w:t xml:space="preserve">  “</w:t>
      </w:r>
      <w:r w:rsidRPr="00427ACE">
        <w:rPr>
          <w:rFonts w:ascii="Bookman Old Style" w:hAnsi="Bookman Old Style"/>
          <w:b/>
          <w:i/>
          <w:sz w:val="18"/>
          <w:szCs w:val="18"/>
        </w:rPr>
        <w:t>Artículo 230.- Principios de la potestad sancionadora</w:t>
      </w:r>
    </w:p>
    <w:p w:rsidR="006F39BE" w:rsidRPr="00427ACE" w:rsidRDefault="006F39BE" w:rsidP="006F39BE">
      <w:pPr>
        <w:pStyle w:val="Textonotapie"/>
        <w:tabs>
          <w:tab w:val="left" w:pos="360"/>
        </w:tabs>
        <w:ind w:left="360" w:hanging="360"/>
        <w:jc w:val="both"/>
        <w:rPr>
          <w:rFonts w:ascii="Bookman Old Style" w:hAnsi="Bookman Old Style"/>
          <w:i/>
          <w:sz w:val="18"/>
          <w:szCs w:val="18"/>
        </w:rPr>
      </w:pPr>
      <w:r w:rsidRPr="00427ACE">
        <w:rPr>
          <w:rFonts w:ascii="Bookman Old Style" w:hAnsi="Bookman Old Style"/>
          <w:i/>
          <w:sz w:val="18"/>
          <w:szCs w:val="18"/>
        </w:rPr>
        <w:tab/>
        <w:t>(…)</w:t>
      </w:r>
    </w:p>
    <w:p w:rsidR="006F39BE" w:rsidRPr="00427ACE" w:rsidRDefault="006F39BE" w:rsidP="006F39BE">
      <w:pPr>
        <w:pStyle w:val="Textonotapie"/>
        <w:tabs>
          <w:tab w:val="left" w:pos="360"/>
        </w:tabs>
        <w:ind w:left="360" w:hanging="360"/>
        <w:jc w:val="both"/>
        <w:rPr>
          <w:rFonts w:ascii="Bookman Old Style" w:hAnsi="Bookman Old Style"/>
          <w:i/>
          <w:sz w:val="18"/>
          <w:szCs w:val="18"/>
        </w:rPr>
      </w:pPr>
      <w:r w:rsidRPr="00427ACE">
        <w:rPr>
          <w:rFonts w:ascii="Bookman Old Style" w:hAnsi="Bookman Old Style"/>
          <w:b/>
          <w:i/>
          <w:sz w:val="18"/>
          <w:szCs w:val="18"/>
        </w:rPr>
        <w:tab/>
        <w:t>3. Razonabilidad</w:t>
      </w:r>
      <w:r w:rsidRPr="00427ACE">
        <w:rPr>
          <w:rFonts w:ascii="Bookman Old Style" w:hAnsi="Bookman Old Style"/>
          <w:i/>
          <w:sz w:val="18"/>
          <w:szCs w:val="18"/>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6F39BE" w:rsidRPr="00427ACE" w:rsidRDefault="006F39BE" w:rsidP="006F39BE">
      <w:pPr>
        <w:pStyle w:val="Textonotapie"/>
        <w:tabs>
          <w:tab w:val="left" w:pos="360"/>
        </w:tabs>
        <w:ind w:left="360" w:hanging="360"/>
        <w:jc w:val="both"/>
        <w:rPr>
          <w:rFonts w:ascii="Calibri" w:hAnsi="Calibri"/>
          <w:sz w:val="18"/>
          <w:szCs w:val="18"/>
        </w:rPr>
      </w:pPr>
      <w:r w:rsidRPr="00427ACE">
        <w:rPr>
          <w:rFonts w:ascii="Bookman Old Style" w:hAnsi="Bookman Old Style"/>
          <w:i/>
          <w:sz w:val="18"/>
          <w:szCs w:val="18"/>
        </w:rPr>
        <w:tab/>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DE0" w:rsidRDefault="00187DE0" w:rsidP="00187DE0">
    <w:pPr>
      <w:pStyle w:val="Encabezado"/>
      <w:rPr>
        <w:noProof/>
      </w:rPr>
    </w:pPr>
    <w:r>
      <w:rPr>
        <w:noProof/>
        <w:lang w:val="es-ES"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187DE0" w:rsidRDefault="00187DE0" w:rsidP="00187DE0">
    <w:pPr>
      <w:pStyle w:val="Encabezado"/>
      <w:rPr>
        <w:noProof/>
      </w:rPr>
    </w:pPr>
  </w:p>
  <w:p w:rsidR="00187DE0" w:rsidRDefault="00187DE0" w:rsidP="00187DE0">
    <w:pPr>
      <w:pStyle w:val="Encabezado"/>
      <w:jc w:val="center"/>
      <w:rPr>
        <w:rFonts w:ascii="Monotype Corsiva" w:hAnsi="Monotype Corsiva"/>
        <w:b/>
        <w:sz w:val="44"/>
        <w:szCs w:val="44"/>
      </w:rPr>
    </w:pPr>
  </w:p>
  <w:p w:rsidR="00187DE0" w:rsidRDefault="00187DE0" w:rsidP="00187DE0">
    <w:pPr>
      <w:pStyle w:val="Encabezado"/>
      <w:jc w:val="center"/>
      <w:rPr>
        <w:rFonts w:ascii="Calibri" w:hAnsi="Calibri"/>
      </w:rPr>
    </w:pPr>
    <w:r>
      <w:rPr>
        <w:rFonts w:ascii="Monotype Corsiva" w:hAnsi="Monotype Corsiva"/>
        <w:b/>
        <w:sz w:val="44"/>
        <w:szCs w:val="44"/>
      </w:rPr>
      <w:t xml:space="preserve">Resolución Nº   </w:t>
    </w:r>
    <w:r>
      <w:rPr>
        <w:rFonts w:ascii="Tahoma" w:hAnsi="Tahoma" w:cs="Tahoma"/>
        <w:b/>
        <w:sz w:val="44"/>
        <w:szCs w:val="44"/>
      </w:rPr>
      <w:t>1511-2011-TC-S1</w:t>
    </w:r>
  </w:p>
  <w:p w:rsidR="00187DE0" w:rsidRDefault="00187DE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E4C03B3E"/>
    <w:lvl w:ilvl="0" w:tplc="3A123698">
      <w:start w:val="1"/>
      <w:numFmt w:val="decimal"/>
      <w:lvlText w:val="%1."/>
      <w:lvlJc w:val="left"/>
      <w:pPr>
        <w:tabs>
          <w:tab w:val="num" w:pos="786"/>
        </w:tabs>
        <w:ind w:left="786" w:hanging="360"/>
      </w:pPr>
      <w:rPr>
        <w:b/>
        <w:i w:val="0"/>
        <w:sz w:val="20"/>
        <w:szCs w:val="20"/>
      </w:rPr>
    </w:lvl>
    <w:lvl w:ilvl="1" w:tplc="33EE8310">
      <w:start w:val="3"/>
      <w:numFmt w:val="bullet"/>
      <w:lvlText w:val=""/>
      <w:lvlJc w:val="left"/>
      <w:pPr>
        <w:tabs>
          <w:tab w:val="num" w:pos="1930"/>
        </w:tabs>
        <w:ind w:left="1930" w:hanging="360"/>
      </w:pPr>
      <w:rPr>
        <w:rFonts w:ascii="Symbol" w:eastAsia="Times New Roman" w:hAnsi="Symbol" w:cs="Tahoma" w:hint="default"/>
      </w:rPr>
    </w:lvl>
    <w:lvl w:ilvl="2" w:tplc="0C0A001B">
      <w:start w:val="1"/>
      <w:numFmt w:val="decimal"/>
      <w:lvlText w:val="%3."/>
      <w:lvlJc w:val="left"/>
      <w:pPr>
        <w:tabs>
          <w:tab w:val="num" w:pos="2302"/>
        </w:tabs>
        <w:ind w:left="2302" w:hanging="360"/>
      </w:pPr>
    </w:lvl>
    <w:lvl w:ilvl="3" w:tplc="0C0A000F">
      <w:start w:val="1"/>
      <w:numFmt w:val="decimal"/>
      <w:lvlText w:val="%4."/>
      <w:lvlJc w:val="left"/>
      <w:pPr>
        <w:tabs>
          <w:tab w:val="num" w:pos="3022"/>
        </w:tabs>
        <w:ind w:left="3022" w:hanging="360"/>
      </w:pPr>
    </w:lvl>
    <w:lvl w:ilvl="4" w:tplc="0C0A0019">
      <w:start w:val="1"/>
      <w:numFmt w:val="decimal"/>
      <w:lvlText w:val="%5."/>
      <w:lvlJc w:val="left"/>
      <w:pPr>
        <w:tabs>
          <w:tab w:val="num" w:pos="3742"/>
        </w:tabs>
        <w:ind w:left="3742" w:hanging="360"/>
      </w:pPr>
    </w:lvl>
    <w:lvl w:ilvl="5" w:tplc="0C0A001B">
      <w:start w:val="1"/>
      <w:numFmt w:val="decimal"/>
      <w:lvlText w:val="%6."/>
      <w:lvlJc w:val="left"/>
      <w:pPr>
        <w:tabs>
          <w:tab w:val="num" w:pos="4462"/>
        </w:tabs>
        <w:ind w:left="4462" w:hanging="360"/>
      </w:pPr>
    </w:lvl>
    <w:lvl w:ilvl="6" w:tplc="0C0A000F">
      <w:start w:val="1"/>
      <w:numFmt w:val="decimal"/>
      <w:lvlText w:val="%7."/>
      <w:lvlJc w:val="left"/>
      <w:pPr>
        <w:tabs>
          <w:tab w:val="num" w:pos="5182"/>
        </w:tabs>
        <w:ind w:left="5182" w:hanging="360"/>
      </w:pPr>
    </w:lvl>
    <w:lvl w:ilvl="7" w:tplc="0C0A0019">
      <w:start w:val="1"/>
      <w:numFmt w:val="decimal"/>
      <w:lvlText w:val="%8."/>
      <w:lvlJc w:val="left"/>
      <w:pPr>
        <w:tabs>
          <w:tab w:val="num" w:pos="5902"/>
        </w:tabs>
        <w:ind w:left="5902" w:hanging="360"/>
      </w:pPr>
    </w:lvl>
    <w:lvl w:ilvl="8" w:tplc="0C0A001B">
      <w:start w:val="1"/>
      <w:numFmt w:val="decimal"/>
      <w:lvlText w:val="%9."/>
      <w:lvlJc w:val="left"/>
      <w:pPr>
        <w:tabs>
          <w:tab w:val="num" w:pos="6622"/>
        </w:tabs>
        <w:ind w:left="6622" w:hanging="360"/>
      </w:pPr>
    </w:lvl>
  </w:abstractNum>
  <w:abstractNum w:abstractNumId="1">
    <w:nsid w:val="20145762"/>
    <w:multiLevelType w:val="hybridMultilevel"/>
    <w:tmpl w:val="ECF8989C"/>
    <w:lvl w:ilvl="0" w:tplc="AD261918">
      <w:start w:val="1"/>
      <w:numFmt w:val="lowerLetter"/>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2">
    <w:nsid w:val="253A5EE5"/>
    <w:multiLevelType w:val="hybridMultilevel"/>
    <w:tmpl w:val="30B84CEC"/>
    <w:lvl w:ilvl="0" w:tplc="7450A038">
      <w:start w:val="1"/>
      <w:numFmt w:val="lowerRoman"/>
      <w:lvlText w:val="(%1)"/>
      <w:lvlJc w:val="left"/>
      <w:pPr>
        <w:ind w:left="1260" w:hanging="360"/>
      </w:pPr>
      <w:rPr>
        <w:rFonts w:hint="default"/>
        <w:b/>
        <w:shadow/>
        <w:spacing w:val="4"/>
        <w:kern w:val="16"/>
        <w:position w:val="0"/>
        <w:sz w:val="20"/>
        <w:szCs w:val="20"/>
      </w:rPr>
    </w:lvl>
    <w:lvl w:ilvl="1" w:tplc="280A0019" w:tentative="1">
      <w:start w:val="1"/>
      <w:numFmt w:val="lowerLetter"/>
      <w:lvlText w:val="%2."/>
      <w:lvlJc w:val="left"/>
      <w:pPr>
        <w:ind w:left="1980" w:hanging="360"/>
      </w:pPr>
    </w:lvl>
    <w:lvl w:ilvl="2" w:tplc="280A001B" w:tentative="1">
      <w:start w:val="1"/>
      <w:numFmt w:val="lowerRoman"/>
      <w:lvlText w:val="%3."/>
      <w:lvlJc w:val="right"/>
      <w:pPr>
        <w:ind w:left="2700" w:hanging="180"/>
      </w:pPr>
    </w:lvl>
    <w:lvl w:ilvl="3" w:tplc="280A000F" w:tentative="1">
      <w:start w:val="1"/>
      <w:numFmt w:val="decimal"/>
      <w:lvlText w:val="%4."/>
      <w:lvlJc w:val="left"/>
      <w:pPr>
        <w:ind w:left="3420" w:hanging="360"/>
      </w:pPr>
    </w:lvl>
    <w:lvl w:ilvl="4" w:tplc="280A0019" w:tentative="1">
      <w:start w:val="1"/>
      <w:numFmt w:val="lowerLetter"/>
      <w:lvlText w:val="%5."/>
      <w:lvlJc w:val="left"/>
      <w:pPr>
        <w:ind w:left="4140" w:hanging="360"/>
      </w:pPr>
    </w:lvl>
    <w:lvl w:ilvl="5" w:tplc="280A001B" w:tentative="1">
      <w:start w:val="1"/>
      <w:numFmt w:val="lowerRoman"/>
      <w:lvlText w:val="%6."/>
      <w:lvlJc w:val="right"/>
      <w:pPr>
        <w:ind w:left="4860" w:hanging="180"/>
      </w:pPr>
    </w:lvl>
    <w:lvl w:ilvl="6" w:tplc="280A000F" w:tentative="1">
      <w:start w:val="1"/>
      <w:numFmt w:val="decimal"/>
      <w:lvlText w:val="%7."/>
      <w:lvlJc w:val="left"/>
      <w:pPr>
        <w:ind w:left="5580" w:hanging="360"/>
      </w:pPr>
    </w:lvl>
    <w:lvl w:ilvl="7" w:tplc="280A0019" w:tentative="1">
      <w:start w:val="1"/>
      <w:numFmt w:val="lowerLetter"/>
      <w:lvlText w:val="%8."/>
      <w:lvlJc w:val="left"/>
      <w:pPr>
        <w:ind w:left="6300" w:hanging="360"/>
      </w:pPr>
    </w:lvl>
    <w:lvl w:ilvl="8" w:tplc="280A001B" w:tentative="1">
      <w:start w:val="1"/>
      <w:numFmt w:val="lowerRoman"/>
      <w:lvlText w:val="%9."/>
      <w:lvlJc w:val="right"/>
      <w:pPr>
        <w:ind w:left="7020" w:hanging="180"/>
      </w:pPr>
    </w:lvl>
  </w:abstractNum>
  <w:abstractNum w:abstractNumId="3">
    <w:nsid w:val="279956C9"/>
    <w:multiLevelType w:val="hybridMultilevel"/>
    <w:tmpl w:val="4E24211A"/>
    <w:lvl w:ilvl="0" w:tplc="ABBE3E44">
      <w:start w:val="1"/>
      <w:numFmt w:val="decimal"/>
      <w:lvlText w:val="%1."/>
      <w:lvlJc w:val="left"/>
      <w:pPr>
        <w:tabs>
          <w:tab w:val="num" w:pos="3040"/>
        </w:tabs>
        <w:ind w:left="3040" w:hanging="340"/>
      </w:pPr>
      <w:rPr>
        <w:rFonts w:cs="Times New Roman" w:hint="default"/>
        <w:b/>
        <w:shadow/>
        <w:spacing w:val="4"/>
        <w:kern w:val="16"/>
        <w:position w:val="0"/>
        <w:sz w:val="24"/>
        <w:szCs w:val="24"/>
      </w:rPr>
    </w:lvl>
    <w:lvl w:ilvl="1" w:tplc="6ED8DA72">
      <w:start w:val="1"/>
      <w:numFmt w:val="decimal"/>
      <w:lvlText w:val="%2."/>
      <w:lvlJc w:val="left"/>
      <w:pPr>
        <w:tabs>
          <w:tab w:val="num" w:pos="1420"/>
        </w:tabs>
        <w:ind w:left="1420" w:hanging="340"/>
      </w:pPr>
      <w:rPr>
        <w:rFonts w:hint="default"/>
        <w:b w:val="0"/>
        <w:shadow/>
        <w:spacing w:val="4"/>
        <w:kern w:val="16"/>
        <w:position w:val="0"/>
        <w:sz w:val="20"/>
        <w:szCs w:val="20"/>
      </w:rPr>
    </w:lvl>
    <w:lvl w:ilvl="2" w:tplc="B7920A4C">
      <w:start w:val="1"/>
      <w:numFmt w:val="lowerRoman"/>
      <w:lvlText w:val="(%3)"/>
      <w:lvlJc w:val="left"/>
      <w:pPr>
        <w:tabs>
          <w:tab w:val="num" w:pos="2718"/>
        </w:tabs>
        <w:ind w:left="2718" w:hanging="738"/>
      </w:pPr>
      <w:rPr>
        <w:rFonts w:hint="default"/>
        <w:b/>
        <w:shadow/>
        <w:spacing w:val="4"/>
        <w:kern w:val="16"/>
        <w:position w:val="0"/>
        <w:sz w:val="20"/>
        <w:szCs w:val="20"/>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31751129"/>
    <w:multiLevelType w:val="hybridMultilevel"/>
    <w:tmpl w:val="DCB24160"/>
    <w:lvl w:ilvl="0" w:tplc="8918EB6E">
      <w:start w:val="10"/>
      <w:numFmt w:val="decimal"/>
      <w:lvlText w:val="%1."/>
      <w:lvlJc w:val="left"/>
      <w:pPr>
        <w:tabs>
          <w:tab w:val="num" w:pos="1240"/>
        </w:tabs>
        <w:ind w:left="1240" w:hanging="340"/>
      </w:pPr>
      <w:rPr>
        <w:rFonts w:cs="Times New Roman" w:hint="default"/>
        <w:b/>
        <w:shadow/>
        <w:spacing w:val="4"/>
        <w:kern w:val="16"/>
        <w:position w:val="0"/>
        <w:sz w:val="20"/>
        <w:szCs w:val="20"/>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nsid w:val="45407604"/>
    <w:multiLevelType w:val="multilevel"/>
    <w:tmpl w:val="B470CF44"/>
    <w:lvl w:ilvl="0">
      <w:start w:val="1"/>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90628FE"/>
    <w:multiLevelType w:val="hybridMultilevel"/>
    <w:tmpl w:val="6E702700"/>
    <w:lvl w:ilvl="0" w:tplc="ABBE3E44">
      <w:start w:val="1"/>
      <w:numFmt w:val="decimal"/>
      <w:lvlText w:val="%1."/>
      <w:lvlJc w:val="left"/>
      <w:pPr>
        <w:tabs>
          <w:tab w:val="num" w:pos="720"/>
        </w:tabs>
        <w:ind w:left="720" w:hanging="360"/>
      </w:pPr>
      <w:rPr>
        <w:rFonts w:cs="Times New Roman"/>
        <w:b/>
        <w:shadow/>
        <w:sz w:val="24"/>
        <w:szCs w:val="24"/>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7">
    <w:nsid w:val="4CBF6ED7"/>
    <w:multiLevelType w:val="multilevel"/>
    <w:tmpl w:val="EB76BB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CE362BF"/>
    <w:multiLevelType w:val="hybridMultilevel"/>
    <w:tmpl w:val="9C68F158"/>
    <w:lvl w:ilvl="0" w:tplc="4FCEEAE6">
      <w:start w:val="1"/>
      <w:numFmt w:val="lowerRoman"/>
      <w:lvlText w:val="(%1)"/>
      <w:lvlJc w:val="left"/>
      <w:pPr>
        <w:ind w:left="1287" w:hanging="360"/>
      </w:pPr>
      <w:rPr>
        <w:rFonts w:hint="default"/>
        <w:b/>
        <w:sz w:val="20"/>
        <w:szCs w:val="2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5C3F1D62"/>
    <w:multiLevelType w:val="hybridMultilevel"/>
    <w:tmpl w:val="B3122DF8"/>
    <w:lvl w:ilvl="0" w:tplc="FDEE1C1A">
      <w:start w:val="1"/>
      <w:numFmt w:val="decimal"/>
      <w:lvlText w:val="%1."/>
      <w:lvlJc w:val="left"/>
      <w:pPr>
        <w:tabs>
          <w:tab w:val="num" w:pos="454"/>
        </w:tabs>
        <w:ind w:left="454" w:hanging="454"/>
      </w:pPr>
      <w:rPr>
        <w:rFonts w:ascii="Tahoma" w:hAnsi="Tahoma" w:cs="Tahoma" w:hint="default"/>
        <w:b/>
        <w:i w:val="0"/>
        <w:shadow w:val="0"/>
        <w:sz w:val="21"/>
        <w:szCs w:val="21"/>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5DAE2F2F"/>
    <w:multiLevelType w:val="hybridMultilevel"/>
    <w:tmpl w:val="501C93BE"/>
    <w:lvl w:ilvl="0" w:tplc="5CAE0190">
      <w:start w:val="2"/>
      <w:numFmt w:val="decimal"/>
      <w:lvlText w:val="%1."/>
      <w:lvlJc w:val="left"/>
      <w:pPr>
        <w:tabs>
          <w:tab w:val="num" w:pos="720"/>
        </w:tabs>
        <w:ind w:left="720" w:hanging="360"/>
      </w:pPr>
      <w:rPr>
        <w:rFonts w:hint="default"/>
        <w:b/>
        <w:shadow/>
        <w:sz w:val="21"/>
        <w:szCs w:val="21"/>
      </w:rPr>
    </w:lvl>
    <w:lvl w:ilvl="1" w:tplc="525E55C6">
      <w:start w:val="1"/>
      <w:numFmt w:val="lowerRoman"/>
      <w:lvlText w:val="(%2)"/>
      <w:lvlJc w:val="left"/>
      <w:pPr>
        <w:tabs>
          <w:tab w:val="num" w:pos="1800"/>
        </w:tabs>
        <w:ind w:left="1800" w:hanging="720"/>
      </w:pPr>
      <w:rPr>
        <w:rFonts w:hint="default"/>
        <w:b/>
        <w:shadow/>
      </w:rPr>
    </w:lvl>
    <w:lvl w:ilvl="2" w:tplc="E7986404">
      <w:start w:val="2"/>
      <w:numFmt w:val="bullet"/>
      <w:lvlText w:val="-"/>
      <w:lvlJc w:val="left"/>
      <w:pPr>
        <w:tabs>
          <w:tab w:val="num" w:pos="928"/>
        </w:tabs>
        <w:ind w:left="928" w:hanging="360"/>
      </w:pPr>
      <w:rPr>
        <w:rFonts w:ascii="Bookman Old Style" w:eastAsia="Times New Roman" w:hAnsi="Bookman Old Style" w:cs="Arial" w:hint="default"/>
      </w:rPr>
    </w:lvl>
    <w:lvl w:ilvl="3" w:tplc="87066598">
      <w:start w:val="1"/>
      <w:numFmt w:val="lowerLetter"/>
      <w:lvlText w:val="%4)"/>
      <w:lvlJc w:val="left"/>
      <w:pPr>
        <w:tabs>
          <w:tab w:val="num" w:pos="2880"/>
        </w:tabs>
        <w:ind w:left="2880" w:hanging="360"/>
      </w:pPr>
      <w:rPr>
        <w:rFonts w:hint="default"/>
        <w:b w:val="0"/>
        <w:sz w:val="21"/>
        <w:szCs w:val="21"/>
      </w:rPr>
    </w:lvl>
    <w:lvl w:ilvl="4" w:tplc="0C0A0017">
      <w:start w:val="1"/>
      <w:numFmt w:val="lowerLetter"/>
      <w:lvlText w:val="%5)"/>
      <w:lvlJc w:val="left"/>
      <w:pPr>
        <w:tabs>
          <w:tab w:val="num" w:pos="3600"/>
        </w:tabs>
        <w:ind w:left="3600" w:hanging="360"/>
      </w:pPr>
      <w:rPr>
        <w:rFonts w:hint="default"/>
        <w:b/>
        <w:sz w:val="21"/>
        <w:szCs w:val="21"/>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688334D8"/>
    <w:multiLevelType w:val="hybridMultilevel"/>
    <w:tmpl w:val="236EB15E"/>
    <w:lvl w:ilvl="0" w:tplc="DD0CB504">
      <w:start w:val="1"/>
      <w:numFmt w:val="decimal"/>
      <w:lvlText w:val="%1."/>
      <w:lvlJc w:val="left"/>
      <w:pPr>
        <w:tabs>
          <w:tab w:val="num" w:pos="454"/>
        </w:tabs>
        <w:ind w:left="454" w:hanging="454"/>
      </w:pPr>
      <w:rPr>
        <w:rFonts w:ascii="Tahoma" w:hAnsi="Tahoma" w:cs="Tahoma" w:hint="default"/>
        <w:b/>
        <w:i w:val="0"/>
        <w:shadow w:val="0"/>
        <w:sz w:val="21"/>
        <w:szCs w:val="21"/>
        <w:u w:color="FFFFFF"/>
      </w:rPr>
    </w:lvl>
    <w:lvl w:ilvl="1" w:tplc="D59E9E78">
      <w:start w:val="1"/>
      <w:numFmt w:val="lowerLetter"/>
      <w:lvlText w:val="%2."/>
      <w:lvlJc w:val="left"/>
      <w:pPr>
        <w:tabs>
          <w:tab w:val="num" w:pos="1440"/>
        </w:tabs>
        <w:ind w:left="1440" w:hanging="360"/>
      </w:pPr>
      <w:rPr>
        <w:rFonts w:hint="default"/>
        <w:b/>
        <w:i w:val="0"/>
        <w:shadow w:val="0"/>
        <w:sz w:val="22"/>
        <w:szCs w:val="22"/>
        <w:u w:color="FFFFFF"/>
      </w:rPr>
    </w:lvl>
    <w:lvl w:ilvl="2" w:tplc="0C0A001B">
      <w:start w:val="1"/>
      <w:numFmt w:val="lowerRoman"/>
      <w:lvlText w:val="%3."/>
      <w:lvlJc w:val="right"/>
      <w:pPr>
        <w:tabs>
          <w:tab w:val="num" w:pos="2160"/>
        </w:tabs>
        <w:ind w:left="2160" w:hanging="180"/>
      </w:pPr>
    </w:lvl>
    <w:lvl w:ilvl="3" w:tplc="11961546">
      <w:numFmt w:val="bullet"/>
      <w:lvlText w:val="-"/>
      <w:lvlJc w:val="left"/>
      <w:pPr>
        <w:tabs>
          <w:tab w:val="num" w:pos="2880"/>
        </w:tabs>
        <w:ind w:left="2880" w:hanging="360"/>
      </w:pPr>
      <w:rPr>
        <w:rFonts w:ascii="Tahoma" w:eastAsia="Times New Roman" w:hAnsi="Tahoma" w:cs="Tahoma"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784950CE"/>
    <w:multiLevelType w:val="hybridMultilevel"/>
    <w:tmpl w:val="6638FD64"/>
    <w:lvl w:ilvl="0" w:tplc="434C3B9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12"/>
  </w:num>
  <w:num w:numId="3">
    <w:abstractNumId w:val="8"/>
  </w:num>
  <w:num w:numId="4">
    <w:abstractNumId w:val="7"/>
  </w:num>
  <w:num w:numId="5">
    <w:abstractNumId w:val="5"/>
  </w:num>
  <w:num w:numId="6">
    <w:abstractNumId w:val="11"/>
  </w:num>
  <w:num w:numId="7">
    <w:abstractNumId w:val="9"/>
  </w:num>
  <w:num w:numId="8">
    <w:abstractNumId w:val="3"/>
  </w:num>
  <w:num w:numId="9">
    <w:abstractNumId w:val="2"/>
  </w:num>
  <w:num w:numId="10">
    <w:abstractNumId w:val="4"/>
  </w:num>
  <w:num w:numId="11">
    <w:abstractNumId w:val="0"/>
  </w:num>
  <w:num w:numId="12">
    <w:abstractNumId w:val="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6F39BE"/>
    <w:rsid w:val="00187DE0"/>
    <w:rsid w:val="004C42BB"/>
    <w:rsid w:val="00510E3C"/>
    <w:rsid w:val="006D6481"/>
    <w:rsid w:val="006F39BE"/>
    <w:rsid w:val="007C4A4A"/>
    <w:rsid w:val="00DE20B8"/>
    <w:rsid w:val="00F77DC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9B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F39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39BE"/>
    <w:pPr>
      <w:ind w:left="720"/>
      <w:contextualSpacing/>
    </w:pPr>
  </w:style>
  <w:style w:type="paragraph" w:styleId="Textonotapie">
    <w:name w:val="footnote text"/>
    <w:aliases w:val="Car,Car Car Car,Car Car,Texto nota pie1,Car4,Texto independiente1, Car, Car4,Body Text,Car2 Car Car Car Car Car,Car2 Car,Car2,Car1 Car, Car2 Car Car Car Car Car, Car2 Car, Car2, Car1 Car"/>
    <w:basedOn w:val="Normal"/>
    <w:link w:val="TextonotapieCar"/>
    <w:semiHidden/>
    <w:rsid w:val="006F39BE"/>
    <w:pPr>
      <w:spacing w:after="0" w:line="240" w:lineRule="auto"/>
    </w:pPr>
    <w:rPr>
      <w:rFonts w:ascii="Times New Roman" w:eastAsia="Calibri" w:hAnsi="Times New Roman" w:cs="Times New Roman"/>
      <w:sz w:val="20"/>
      <w:szCs w:val="20"/>
      <w:lang w:val="es-ES" w:eastAsia="es-PE"/>
    </w:rPr>
  </w:style>
  <w:style w:type="character" w:customStyle="1" w:styleId="TextonotapieCar">
    <w:name w:val="Texto nota pie Car"/>
    <w:aliases w:val="Car Car1,Car Car Car Car,Car Car Car1,Texto nota pie1 Car,Car4 Car,Texto independiente1 Car, Car Car, Car4 Car,Body Text Car,Car2 Car Car Car Car Car Car,Car2 Car Car,Car2 Car1,Car1 Car Car, Car2 Car Car Car Car Car Car, Car2 Car Car"/>
    <w:basedOn w:val="Fuentedeprrafopredeter"/>
    <w:link w:val="Textonotapie"/>
    <w:semiHidden/>
    <w:rsid w:val="006F39BE"/>
    <w:rPr>
      <w:rFonts w:ascii="Times New Roman" w:eastAsia="Calibri" w:hAnsi="Times New Roman" w:cs="Times New Roman"/>
      <w:sz w:val="20"/>
      <w:szCs w:val="20"/>
      <w:lang w:val="es-ES" w:eastAsia="es-PE"/>
    </w:rPr>
  </w:style>
  <w:style w:type="character" w:styleId="Refdenotaalpie">
    <w:name w:val="footnote reference"/>
    <w:basedOn w:val="Fuentedeprrafopredeter"/>
    <w:semiHidden/>
    <w:rsid w:val="006F39BE"/>
    <w:rPr>
      <w:rFonts w:cs="Times New Roman"/>
      <w:vertAlign w:val="superscript"/>
    </w:rPr>
  </w:style>
  <w:style w:type="paragraph" w:styleId="Encabezado">
    <w:name w:val="header"/>
    <w:aliases w:val="maria,h"/>
    <w:basedOn w:val="Normal"/>
    <w:link w:val="EncabezadoCar"/>
    <w:uiPriority w:val="99"/>
    <w:unhideWhenUsed/>
    <w:rsid w:val="004C42BB"/>
    <w:pPr>
      <w:tabs>
        <w:tab w:val="center" w:pos="4419"/>
        <w:tab w:val="right" w:pos="8838"/>
      </w:tabs>
      <w:spacing w:after="0" w:line="240" w:lineRule="auto"/>
    </w:pPr>
  </w:style>
  <w:style w:type="character" w:customStyle="1" w:styleId="EncabezadoCar">
    <w:name w:val="Encabezado Car"/>
    <w:aliases w:val="maria Car,h Car"/>
    <w:basedOn w:val="Fuentedeprrafopredeter"/>
    <w:link w:val="Encabezado"/>
    <w:uiPriority w:val="99"/>
    <w:rsid w:val="004C42BB"/>
  </w:style>
  <w:style w:type="paragraph" w:styleId="Piedepgina">
    <w:name w:val="footer"/>
    <w:basedOn w:val="Normal"/>
    <w:link w:val="PiedepginaCar"/>
    <w:uiPriority w:val="99"/>
    <w:unhideWhenUsed/>
    <w:rsid w:val="004C42B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42BB"/>
  </w:style>
  <w:style w:type="paragraph" w:styleId="Textodeglobo">
    <w:name w:val="Balloon Text"/>
    <w:basedOn w:val="Normal"/>
    <w:link w:val="TextodegloboCar"/>
    <w:uiPriority w:val="99"/>
    <w:semiHidden/>
    <w:unhideWhenUsed/>
    <w:rsid w:val="004C42B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C42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9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F39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39BE"/>
    <w:pPr>
      <w:ind w:left="720"/>
      <w:contextualSpacing/>
    </w:pPr>
  </w:style>
  <w:style w:type="paragraph" w:styleId="Textonotapie">
    <w:name w:val="footnote text"/>
    <w:aliases w:val="Car,Car Car Car,Car Car,Texto nota pie1,Car4,Texto independiente1, Car, Car4,Body Text,Car2 Car Car Car Car Car,Car2 Car,Car2,Car1 Car, Car2 Car Car Car Car Car, Car2 Car, Car2, Car1 Car"/>
    <w:basedOn w:val="Normal"/>
    <w:link w:val="TextonotapieCar"/>
    <w:semiHidden/>
    <w:rsid w:val="006F39BE"/>
    <w:pPr>
      <w:spacing w:after="0" w:line="240" w:lineRule="auto"/>
    </w:pPr>
    <w:rPr>
      <w:rFonts w:ascii="Times New Roman" w:eastAsia="Calibri" w:hAnsi="Times New Roman" w:cs="Times New Roman"/>
      <w:sz w:val="20"/>
      <w:szCs w:val="20"/>
      <w:lang w:val="es-ES" w:eastAsia="es-PE"/>
    </w:rPr>
  </w:style>
  <w:style w:type="character" w:customStyle="1" w:styleId="TextonotapieCar">
    <w:name w:val="Texto nota pie Car"/>
    <w:aliases w:val="Car Car1,Car Car Car Car,Car Car Car1,Texto nota pie1 Car,Car4 Car,Texto independiente1 Car, Car Car, Car4 Car,Body Text Car,Car2 Car Car Car Car Car Car,Car2 Car Car,Car2 Car1,Car1 Car Car, Car2 Car Car Car Car Car Car, Car2 Car Car"/>
    <w:basedOn w:val="Fuentedeprrafopredeter"/>
    <w:link w:val="Textonotapie"/>
    <w:semiHidden/>
    <w:rsid w:val="006F39BE"/>
    <w:rPr>
      <w:rFonts w:ascii="Times New Roman" w:eastAsia="Calibri" w:hAnsi="Times New Roman" w:cs="Times New Roman"/>
      <w:sz w:val="20"/>
      <w:szCs w:val="20"/>
      <w:lang w:val="es-ES" w:eastAsia="es-PE"/>
    </w:rPr>
  </w:style>
  <w:style w:type="character" w:styleId="Refdenotaalpie">
    <w:name w:val="footnote reference"/>
    <w:basedOn w:val="Fuentedeprrafopredeter"/>
    <w:semiHidden/>
    <w:rsid w:val="006F39BE"/>
    <w:rPr>
      <w:rFonts w:cs="Times New Roman"/>
      <w:vertAlign w:val="superscript"/>
    </w:rPr>
  </w:style>
  <w:style w:type="paragraph" w:styleId="Encabezado">
    <w:name w:val="header"/>
    <w:basedOn w:val="Normal"/>
    <w:link w:val="EncabezadoCar"/>
    <w:uiPriority w:val="99"/>
    <w:unhideWhenUsed/>
    <w:rsid w:val="004C42B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42BB"/>
  </w:style>
  <w:style w:type="paragraph" w:styleId="Piedepgina">
    <w:name w:val="footer"/>
    <w:basedOn w:val="Normal"/>
    <w:link w:val="PiedepginaCar"/>
    <w:uiPriority w:val="99"/>
    <w:unhideWhenUsed/>
    <w:rsid w:val="004C42B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42BB"/>
  </w:style>
  <w:style w:type="paragraph" w:styleId="Textodeglobo">
    <w:name w:val="Balloon Text"/>
    <w:basedOn w:val="Normal"/>
    <w:link w:val="TextodegloboCar"/>
    <w:uiPriority w:val="99"/>
    <w:semiHidden/>
    <w:unhideWhenUsed/>
    <w:rsid w:val="004C42B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C42B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497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12</Pages>
  <Words>4281</Words>
  <Characters>23549</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del Carmen Negreiros Andrade</dc:creator>
  <cp:lastModifiedBy>bcaceres</cp:lastModifiedBy>
  <cp:revision>2</cp:revision>
  <cp:lastPrinted>2011-09-15T17:55:00Z</cp:lastPrinted>
  <dcterms:created xsi:type="dcterms:W3CDTF">2011-09-15T17:42:00Z</dcterms:created>
  <dcterms:modified xsi:type="dcterms:W3CDTF">2011-10-05T15:09:00Z</dcterms:modified>
</cp:coreProperties>
</file>